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72E2" w:rsidRDefault="00077CD5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723900" cy="7000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72E2" w:rsidRDefault="005972E2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972E2" w:rsidRDefault="00077CD5">
      <w:pPr>
        <w:spacing w:line="276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JOB DESCRIPTION</w:t>
      </w:r>
    </w:p>
    <w:p w:rsidR="005972E2" w:rsidRDefault="005972E2">
      <w:pPr>
        <w:spacing w:line="276" w:lineRule="auto"/>
        <w:jc w:val="center"/>
        <w:rPr>
          <w:color w:val="000000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2"/>
      </w:tblGrid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Nursery Practitioner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Responsible to</w:t>
            </w: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Head of Pre Prep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 Preparatory School, Nursery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</w:t>
            </w: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Purpose of job and primary objectives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Raise the quality of early years provision, including physical, emotional, social and intellectual education and care for children in the setting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promote excellent practice at all times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support other practitioners in the skills and behaviours that sa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feguard and promote good outcomes for children</w:t>
            </w:r>
          </w:p>
          <w:p w:rsidR="005972E2" w:rsidRDefault="005972E2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Areas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Knowledge and understanding of the EYFS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Effective practice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Relationships with children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Communicating and working in partnership with families and carers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Teamwork and collaboration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Continue own prof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essional development</w:t>
            </w:r>
          </w:p>
          <w:p w:rsidR="005972E2" w:rsidRDefault="005972E2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 and understanding of the EYFS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the principles and content of the Early Years Foundation Stage Statutory Framework and Outcomes (April 2017) and know how to put them into practice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Acknowledge the various influences and transitions experienced by a child from both inside and outside the setting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and promote current legal requirements, national policies and guidance on health and safety, safeguarding and promoting the wellbein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of children</w:t>
            </w:r>
          </w:p>
          <w:p w:rsidR="005972E2" w:rsidRDefault="005972E2">
            <w:pPr>
              <w:spacing w:line="276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Effective Practice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have high expectations of all children and to demonstrate commitment to ensuring that they can achieve their full potential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Establish and sustain a safe, welcoming, purposeful, stimulating and encouraging environment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here children feel confident and secure and are able to develop and learn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Promote the use of informed observation and other strategies to monitor children’s activity, development and progress systematically and carefully, and to use this information to inf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orm, plan and improve practice and provision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Plan and provide safe, appropriate, child-led and adult initiated experiences, activities and play opportunities  indoor, outdoor and in out-of-setting contexts, which enable children to develop and learn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prepare and use a range of resources suitable for children’s ages, interests and abilities, taking account of diversity and promoting equality and inclusion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Actively support the development of children’s language and communication skills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Promote positive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behaviour, self-control and independence through using effective behaviour management strategies and developing children’s social, emotional and behavioural skills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Promote children’s rights, equality, inclusion and anti-discriminatory practice in all aspects of the setting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Establish and maintain a safe environment and employ practices that promote children’s health, safety and physical, mental and emotional well-bein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Encourage all practitioners to recognise when a child is in danger or at risk of harm and know how to act to protect them 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 the process of effective assessment, recording and reporting on progress in children’s development and learning and use thi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as a basis for differentiating provision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talk to children, giving constructive and sensitive feedback to help children understand what they have achieved and think about what they need to do next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Maintain a positive and proactive culture amongst pract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itioners in being able to identify and support children whose progress, development or well-being is affected by changes or difficulties in their personal circumstances, ensuring staff know when to refer them to colleagues for specialist support</w:t>
            </w:r>
          </w:p>
          <w:p w:rsidR="005972E2" w:rsidRDefault="005972E2">
            <w:pPr>
              <w:spacing w:line="276" w:lineRule="auto"/>
              <w:ind w:left="720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Relation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ships with children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Establish fair, respectful, trusting, supportive and constructive relationships with children, communicating sensitively and effectively with children to the end of the foundation stage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Maintain a culture of listening to children, payin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attention to what they say and valuing and respecting their views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all staff demonstrate the positive values, attitudes and behaviour which the setting expects from the children</w:t>
            </w:r>
          </w:p>
          <w:p w:rsidR="005972E2" w:rsidRDefault="005972E2">
            <w:pPr>
              <w:spacing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Communicating and working in partnership with families and carers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Maintain fair, respectful, trusting and constructive relationships with families and parents/carers, and communicate sensitively and effectively with them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work in partnership with parents / carers and other family members, providing formal and informal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opportunities through which information about children’s well-being, development and learning can be shared to improve outcomes</w:t>
            </w: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Teamwork and collaboration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Sustain a culture of collaborative and cooperative working between colleagues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Shape the policies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practices of the setting and share in collective responsibility for their implementation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Contribute to the work of a multi-professional team</w:t>
            </w:r>
          </w:p>
          <w:p w:rsidR="005972E2" w:rsidRDefault="005972E2">
            <w:pPr>
              <w:spacing w:line="276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development</w:t>
            </w:r>
          </w:p>
          <w:p w:rsidR="005972E2" w:rsidRDefault="005972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 and use skills in literacy, numeracy and information and communication technol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ogy to support their work with children and wider professional activities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Play an active role in identifying and finding ways of meeting own needs for professional development and the development needs of the setting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Adopt a creative and innovative approach towards practice, by being open to opportunities for improvements, and to make suggestions</w:t>
            </w:r>
          </w:p>
          <w:p w:rsidR="005972E2" w:rsidRDefault="005972E2">
            <w:pPr>
              <w:spacing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duties</w:t>
            </w: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Maintain and replenish resources in the Nursery environment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effectively use the Interactive Learning Diary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record observations and assess children’s next steps in learning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Maintain standards of cleanliness and hygiene within the Nursery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provide simple First Aid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attend Nursery team meetings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supervise Early Morning Car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and After School Care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when required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 attend  staff meetings at the request of the EYFS Coordinator and Head of Pre Prep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 parents evenings and open days to promote the Nursery and Pre Prep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undertake appropriate in-service training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display children’s work in a variety of ways</w:t>
            </w:r>
          </w:p>
          <w:p w:rsidR="005972E2" w:rsidRDefault="00077CD5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 other reasonable duties as required by the Head Teacher</w:t>
            </w:r>
          </w:p>
          <w:p w:rsidR="005972E2" w:rsidRDefault="005972E2">
            <w:pPr>
              <w:spacing w:line="276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Supervisory and managerial responsibilities</w:t>
            </w: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None</w:t>
            </w: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 and skills required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12" w:type="dxa"/>
          </w:tcPr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Skills, supported by demonstrable experience, in supervision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care of children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Calm, professional behaviour at all times, including appropriate reactions to negative behaviour by a child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Proven basic administrative skills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 IT literacy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Prior experience or induction training in a similar role, particularly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covering Child Protection and Health and Safety training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Detailed knowledge of the EYFS 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organised, self-disciplined, reliable, conscientious and honest</w:t>
            </w:r>
          </w:p>
          <w:p w:rsidR="005972E2" w:rsidRDefault="00077CD5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inspiring and influential</w:t>
            </w:r>
          </w:p>
          <w:p w:rsidR="005972E2" w:rsidRDefault="005972E2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  <w:p w:rsidR="005972E2" w:rsidRDefault="005972E2">
            <w:pPr>
              <w:spacing w:line="276" w:lineRule="auto"/>
              <w:ind w:left="720"/>
              <w:rPr>
                <w:color w:val="000000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Qualifications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12" w:type="dxa"/>
          </w:tcPr>
          <w:p w:rsidR="005972E2" w:rsidRDefault="005972E2">
            <w:pPr>
              <w:spacing w:line="276" w:lineRule="auto"/>
              <w:rPr>
                <w:color w:val="000000"/>
              </w:rPr>
            </w:pPr>
          </w:p>
          <w:p w:rsidR="005972E2" w:rsidRDefault="00077CD5">
            <w:pPr>
              <w:numPr>
                <w:ilvl w:val="0"/>
                <w:numId w:val="1"/>
              </w:numPr>
              <w:spacing w:line="276" w:lineRule="auto"/>
              <w:ind w:left="750" w:hanging="4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Early Years Educator Approved qualification; Level 3 or above</w:t>
            </w:r>
          </w:p>
          <w:p w:rsidR="005972E2" w:rsidRDefault="00077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GCSE Maths and English at Grade C or above</w:t>
            </w:r>
          </w:p>
          <w:p w:rsidR="005972E2" w:rsidRDefault="00077CD5">
            <w:pPr>
              <w:numPr>
                <w:ilvl w:val="0"/>
                <w:numId w:val="1"/>
              </w:numPr>
              <w:spacing w:line="276" w:lineRule="auto"/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Paediatric First Aid qualification (desirable)</w:t>
            </w:r>
          </w:p>
          <w:p w:rsidR="005972E2" w:rsidRDefault="00077CD5">
            <w:pPr>
              <w:numPr>
                <w:ilvl w:val="0"/>
                <w:numId w:val="1"/>
              </w:numPr>
              <w:spacing w:line="276" w:lineRule="auto"/>
              <w:ind w:left="75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EYFS Observation, Assessment and Planning training (preferable)</w:t>
            </w:r>
          </w:p>
          <w:p w:rsidR="005972E2" w:rsidRDefault="00077CD5">
            <w:pPr>
              <w:numPr>
                <w:ilvl w:val="0"/>
                <w:numId w:val="1"/>
              </w:numPr>
              <w:spacing w:line="276" w:lineRule="auto"/>
              <w:ind w:left="75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 to date with latest relevant research and theories</w:t>
            </w:r>
          </w:p>
          <w:p w:rsidR="005972E2" w:rsidRDefault="005972E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972E2">
        <w:tc>
          <w:tcPr>
            <w:tcW w:w="2269" w:type="dxa"/>
          </w:tcPr>
          <w:p w:rsidR="005972E2" w:rsidRDefault="00077CD5">
            <w:pP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Special working conditions</w:t>
            </w:r>
          </w:p>
        </w:tc>
        <w:tc>
          <w:tcPr>
            <w:tcW w:w="7512" w:type="dxa"/>
          </w:tcPr>
          <w:p w:rsidR="005972E2" w:rsidRDefault="00077CD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College operates a smoking policy under which, except for a restricted number of designated areas, smoking is not permitted in public areas, teaching or working areas within its buildings.</w:t>
            </w:r>
          </w:p>
          <w:p w:rsidR="005972E2" w:rsidRDefault="005972E2">
            <w:pPr>
              <w:spacing w:line="276" w:lineRule="auto"/>
              <w:rPr>
                <w:color w:val="000000"/>
              </w:rPr>
            </w:pPr>
          </w:p>
        </w:tc>
      </w:tr>
    </w:tbl>
    <w:p w:rsidR="005972E2" w:rsidRDefault="005972E2">
      <w:pPr>
        <w:spacing w:line="276" w:lineRule="auto"/>
        <w:rPr>
          <w:color w:val="000000"/>
        </w:rPr>
      </w:pPr>
    </w:p>
    <w:p w:rsidR="005972E2" w:rsidRDefault="005972E2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972E2" w:rsidRDefault="00077CD5">
      <w:pPr>
        <w:spacing w:line="276" w:lineRule="auto"/>
        <w:rPr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This job description is a brief and concise description of </w:t>
      </w:r>
      <w:r>
        <w:rPr>
          <w:rFonts w:ascii="Calibri" w:eastAsia="Calibri" w:hAnsi="Calibri" w:cs="Calibri"/>
          <w:sz w:val="22"/>
          <w:szCs w:val="22"/>
        </w:rPr>
        <w:t>the above job.</w:t>
      </w:r>
    </w:p>
    <w:p w:rsidR="005972E2" w:rsidRDefault="005972E2">
      <w:pPr>
        <w:spacing w:line="276" w:lineRule="auto"/>
        <w:rPr>
          <w:color w:val="000000"/>
        </w:rPr>
      </w:pPr>
    </w:p>
    <w:p w:rsidR="005972E2" w:rsidRDefault="00077CD5">
      <w:pPr>
        <w:spacing w:line="276" w:lineRule="auto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</w:rPr>
        <w:tab/>
        <w:t>July 2018</w:t>
      </w:r>
    </w:p>
    <w:p w:rsidR="005972E2" w:rsidRDefault="005972E2">
      <w:pPr>
        <w:spacing w:line="276" w:lineRule="auto"/>
        <w:rPr>
          <w:color w:val="000000"/>
        </w:rPr>
      </w:pPr>
    </w:p>
    <w:p w:rsidR="005972E2" w:rsidRDefault="00077CD5">
      <w:pPr>
        <w:spacing w:line="276" w:lineRule="auto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Prepared by</w:t>
      </w:r>
      <w:r>
        <w:rPr>
          <w:rFonts w:ascii="Calibri" w:eastAsia="Calibri" w:hAnsi="Calibri" w:cs="Calibri"/>
          <w:sz w:val="22"/>
          <w:szCs w:val="22"/>
        </w:rPr>
        <w:tab/>
        <w:t xml:space="preserve">Jo Newman, Head of Pre Prep </w:t>
      </w:r>
    </w:p>
    <w:p w:rsidR="005972E2" w:rsidRDefault="005972E2">
      <w:pPr>
        <w:spacing w:line="276" w:lineRule="auto"/>
        <w:rPr>
          <w:color w:val="000000"/>
        </w:rPr>
      </w:pPr>
    </w:p>
    <w:p w:rsidR="005972E2" w:rsidRDefault="00077CD5">
      <w:pPr>
        <w:spacing w:line="276" w:lineRule="auto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Approved by</w:t>
      </w:r>
    </w:p>
    <w:p w:rsidR="005972E2" w:rsidRDefault="005972E2">
      <w:pPr>
        <w:spacing w:line="276" w:lineRule="auto"/>
        <w:ind w:left="360"/>
        <w:rPr>
          <w:color w:val="000000"/>
        </w:rPr>
      </w:pPr>
    </w:p>
    <w:p w:rsidR="005972E2" w:rsidRDefault="005972E2">
      <w:pPr>
        <w:spacing w:line="276" w:lineRule="auto"/>
        <w:ind w:left="360"/>
        <w:rPr>
          <w:color w:val="000000"/>
        </w:rPr>
      </w:pPr>
    </w:p>
    <w:p w:rsidR="005972E2" w:rsidRDefault="005972E2">
      <w:pPr>
        <w:spacing w:line="276" w:lineRule="auto"/>
        <w:ind w:left="360"/>
        <w:rPr>
          <w:color w:val="000000"/>
        </w:rPr>
      </w:pPr>
    </w:p>
    <w:p w:rsidR="005972E2" w:rsidRDefault="005972E2">
      <w:pPr>
        <w:spacing w:line="276" w:lineRule="auto"/>
        <w:ind w:left="360"/>
        <w:rPr>
          <w:color w:val="000000"/>
        </w:rPr>
      </w:pPr>
    </w:p>
    <w:p w:rsidR="005972E2" w:rsidRDefault="005972E2">
      <w:pPr>
        <w:spacing w:line="276" w:lineRule="auto"/>
        <w:ind w:left="360"/>
        <w:rPr>
          <w:color w:val="000000"/>
        </w:rPr>
      </w:pPr>
    </w:p>
    <w:p w:rsidR="005972E2" w:rsidRDefault="005972E2">
      <w:pPr>
        <w:spacing w:line="276" w:lineRule="auto"/>
        <w:ind w:left="360"/>
        <w:rPr>
          <w:color w:val="000000"/>
        </w:rPr>
      </w:pPr>
    </w:p>
    <w:sectPr w:rsidR="005972E2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F94"/>
    <w:multiLevelType w:val="multilevel"/>
    <w:tmpl w:val="AA7279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ED453FF"/>
    <w:multiLevelType w:val="multilevel"/>
    <w:tmpl w:val="67EAF4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4284009"/>
    <w:multiLevelType w:val="multilevel"/>
    <w:tmpl w:val="D36EA08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2"/>
    <w:rsid w:val="00077CD5"/>
    <w:rsid w:val="005961C5"/>
    <w:rsid w:val="005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42C3B-C1F6-4636-9FC0-37C4995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2"/>
    </w:pPr>
    <w:rPr>
      <w:b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Di Somma</dc:creator>
  <cp:lastModifiedBy>Joanna Di Somma</cp:lastModifiedBy>
  <cp:revision>2</cp:revision>
  <dcterms:created xsi:type="dcterms:W3CDTF">2018-10-09T14:45:00Z</dcterms:created>
  <dcterms:modified xsi:type="dcterms:W3CDTF">2018-10-09T14:45:00Z</dcterms:modified>
</cp:coreProperties>
</file>