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tblLook w:val="04A0" w:firstRow="1" w:lastRow="0" w:firstColumn="1" w:lastColumn="0" w:noHBand="0" w:noVBand="1"/>
      </w:tblPr>
      <w:tblGrid>
        <w:gridCol w:w="1701"/>
        <w:gridCol w:w="5669"/>
        <w:gridCol w:w="1806"/>
      </w:tblGrid>
      <w:tr w:rsidR="00E54341" w:rsidRPr="00AB29BD" w:rsidTr="00AB29BD">
        <w:tc>
          <w:tcPr>
            <w:tcW w:w="1701" w:type="dxa"/>
            <w:shd w:val="clear" w:color="auto" w:fill="auto"/>
          </w:tcPr>
          <w:p w:rsidR="00AB29BD" w:rsidRPr="00AB29BD" w:rsidRDefault="00AC718B" w:rsidP="00AB29BD">
            <w:pPr>
              <w:spacing w:after="0" w:line="240" w:lineRule="auto"/>
            </w:pPr>
            <w:r>
              <w:rPr>
                <w:noProof/>
                <w:lang w:eastAsia="en-GB"/>
              </w:rPr>
              <w:drawing>
                <wp:inline distT="0" distB="0" distL="0" distR="0">
                  <wp:extent cx="923925" cy="8477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847725"/>
                          </a:xfrm>
                          <a:prstGeom prst="rect">
                            <a:avLst/>
                          </a:prstGeom>
                          <a:noFill/>
                          <a:ln>
                            <a:noFill/>
                          </a:ln>
                        </pic:spPr>
                      </pic:pic>
                    </a:graphicData>
                  </a:graphic>
                </wp:inline>
              </w:drawing>
            </w:r>
          </w:p>
        </w:tc>
        <w:tc>
          <w:tcPr>
            <w:tcW w:w="5669" w:type="dxa"/>
            <w:shd w:val="clear" w:color="auto" w:fill="auto"/>
          </w:tcPr>
          <w:p w:rsidR="00AB29BD" w:rsidRPr="00AB29BD" w:rsidRDefault="00AB29BD" w:rsidP="00AB29BD">
            <w:pPr>
              <w:tabs>
                <w:tab w:val="left" w:pos="315"/>
                <w:tab w:val="center" w:pos="3630"/>
              </w:tabs>
              <w:spacing w:after="0" w:line="240" w:lineRule="auto"/>
              <w:jc w:val="center"/>
              <w:rPr>
                <w:rFonts w:ascii="Arial" w:hAnsi="Arial" w:cs="Arial"/>
                <w:b/>
                <w:sz w:val="48"/>
                <w:szCs w:val="48"/>
              </w:rPr>
            </w:pPr>
            <w:r w:rsidRPr="00AB29BD">
              <w:rPr>
                <w:rFonts w:ascii="Arial" w:hAnsi="Arial" w:cs="Arial"/>
                <w:b/>
                <w:sz w:val="48"/>
                <w:szCs w:val="48"/>
              </w:rPr>
              <w:t>Winchmore School</w:t>
            </w:r>
          </w:p>
          <w:p w:rsidR="00AB29BD" w:rsidRPr="00AB29BD" w:rsidRDefault="00AB29BD" w:rsidP="00AB29BD">
            <w:pPr>
              <w:tabs>
                <w:tab w:val="left" w:pos="315"/>
                <w:tab w:val="center" w:pos="3630"/>
              </w:tabs>
              <w:spacing w:after="0" w:line="240" w:lineRule="auto"/>
              <w:jc w:val="center"/>
              <w:rPr>
                <w:rFonts w:ascii="Arial" w:hAnsi="Arial" w:cs="Arial"/>
                <w:b/>
                <w:sz w:val="24"/>
                <w:szCs w:val="24"/>
              </w:rPr>
            </w:pPr>
          </w:p>
          <w:p w:rsidR="00AB29BD" w:rsidRPr="00AB29BD" w:rsidRDefault="00AB29BD" w:rsidP="00AB29BD">
            <w:pPr>
              <w:tabs>
                <w:tab w:val="left" w:pos="315"/>
                <w:tab w:val="center" w:pos="3630"/>
              </w:tabs>
              <w:spacing w:after="0" w:line="240" w:lineRule="auto"/>
              <w:jc w:val="center"/>
              <w:rPr>
                <w:rFonts w:ascii="Arial" w:hAnsi="Arial" w:cs="Arial"/>
                <w:b/>
                <w:sz w:val="40"/>
                <w:szCs w:val="40"/>
              </w:rPr>
            </w:pPr>
            <w:r w:rsidRPr="00AB29BD">
              <w:rPr>
                <w:rFonts w:ascii="Arial" w:hAnsi="Arial" w:cs="Arial"/>
                <w:b/>
                <w:sz w:val="40"/>
                <w:szCs w:val="40"/>
              </w:rPr>
              <w:t>Job Description</w:t>
            </w:r>
          </w:p>
          <w:p w:rsidR="00AB29BD" w:rsidRPr="00AB29BD" w:rsidRDefault="00AB29BD" w:rsidP="00AB29BD">
            <w:pPr>
              <w:spacing w:after="0" w:line="240" w:lineRule="auto"/>
            </w:pPr>
          </w:p>
        </w:tc>
        <w:tc>
          <w:tcPr>
            <w:tcW w:w="1806" w:type="dxa"/>
            <w:shd w:val="clear" w:color="auto" w:fill="auto"/>
          </w:tcPr>
          <w:p w:rsidR="00AB29BD" w:rsidRPr="00AB29BD" w:rsidRDefault="00AC718B" w:rsidP="00AB29BD">
            <w:pPr>
              <w:spacing w:after="0" w:line="240" w:lineRule="auto"/>
              <w:jc w:val="right"/>
            </w:pPr>
            <w:r>
              <w:rPr>
                <w:noProof/>
                <w:lang w:eastAsia="en-GB"/>
              </w:rPr>
              <w:drawing>
                <wp:inline distT="0" distB="0" distL="0" distR="0">
                  <wp:extent cx="838200" cy="7715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inline>
              </w:drawing>
            </w:r>
            <w:r>
              <w:rPr>
                <w:noProof/>
                <w:lang w:eastAsia="en-GB"/>
              </w:rPr>
              <w:drawing>
                <wp:anchor distT="0" distB="0" distL="114300" distR="114300" simplePos="0" relativeHeight="251658752" behindDoc="1" locked="0" layoutInCell="1" allowOverlap="1">
                  <wp:simplePos x="0" y="0"/>
                  <wp:positionH relativeFrom="column">
                    <wp:posOffset>5886450</wp:posOffset>
                  </wp:positionH>
                  <wp:positionV relativeFrom="paragraph">
                    <wp:posOffset>663575</wp:posOffset>
                  </wp:positionV>
                  <wp:extent cx="1179830" cy="1040130"/>
                  <wp:effectExtent l="0" t="0" r="1270" b="762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8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5886450</wp:posOffset>
                  </wp:positionH>
                  <wp:positionV relativeFrom="paragraph">
                    <wp:posOffset>663575</wp:posOffset>
                  </wp:positionV>
                  <wp:extent cx="1179830" cy="1040130"/>
                  <wp:effectExtent l="0" t="0" r="1270" b="762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8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simplePos x="0" y="0"/>
                  <wp:positionH relativeFrom="column">
                    <wp:posOffset>5886450</wp:posOffset>
                  </wp:positionH>
                  <wp:positionV relativeFrom="paragraph">
                    <wp:posOffset>663575</wp:posOffset>
                  </wp:positionV>
                  <wp:extent cx="1179830" cy="1040130"/>
                  <wp:effectExtent l="0" t="0" r="1270" b="762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8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B58EC" w:rsidRDefault="002B58EC" w:rsidP="00AB29BD">
      <w:pPr>
        <w:spacing w:after="0"/>
      </w:pPr>
    </w:p>
    <w:p w:rsidR="00AB29BD" w:rsidRDefault="00AB29BD" w:rsidP="00AB29BD">
      <w:pPr>
        <w:spacing w:after="0"/>
      </w:pPr>
    </w:p>
    <w:p w:rsidR="00AB29BD" w:rsidRDefault="00AB29BD" w:rsidP="00AB29B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E54341" w:rsidRPr="00AB29BD" w:rsidTr="00AB29BD">
        <w:tc>
          <w:tcPr>
            <w:tcW w:w="2376" w:type="dxa"/>
            <w:shd w:val="clear" w:color="auto" w:fill="auto"/>
          </w:tcPr>
          <w:p w:rsidR="00AB29BD" w:rsidRPr="00AB29BD" w:rsidRDefault="00AB29BD" w:rsidP="00AB29BD">
            <w:pPr>
              <w:spacing w:before="120" w:after="120" w:line="240" w:lineRule="auto"/>
              <w:jc w:val="both"/>
              <w:rPr>
                <w:rFonts w:ascii="Arial" w:hAnsi="Arial" w:cs="Arial"/>
                <w:b/>
              </w:rPr>
            </w:pPr>
            <w:r w:rsidRPr="00AB29BD">
              <w:rPr>
                <w:rFonts w:ascii="Arial" w:hAnsi="Arial" w:cs="Arial"/>
                <w:b/>
              </w:rPr>
              <w:t>Post Title</w:t>
            </w:r>
            <w:r w:rsidRPr="00AB29BD">
              <w:rPr>
                <w:rFonts w:ascii="Arial" w:hAnsi="Arial" w:cs="Arial"/>
              </w:rPr>
              <w:t>:</w:t>
            </w:r>
          </w:p>
        </w:tc>
        <w:tc>
          <w:tcPr>
            <w:tcW w:w="6866" w:type="dxa"/>
            <w:shd w:val="clear" w:color="auto" w:fill="auto"/>
          </w:tcPr>
          <w:p w:rsidR="00AB29BD" w:rsidRPr="00AB29BD" w:rsidRDefault="00122E40" w:rsidP="00AB29BD">
            <w:pPr>
              <w:spacing w:before="120" w:after="120" w:line="240" w:lineRule="auto"/>
              <w:jc w:val="both"/>
              <w:rPr>
                <w:rFonts w:ascii="Arial" w:hAnsi="Arial" w:cs="Arial"/>
                <w:b/>
              </w:rPr>
            </w:pPr>
            <w:r>
              <w:rPr>
                <w:rFonts w:ascii="Arial" w:hAnsi="Arial" w:cs="Arial"/>
                <w:b/>
              </w:rPr>
              <w:t>In</w:t>
            </w:r>
            <w:r w:rsidR="009C781C">
              <w:rPr>
                <w:rFonts w:ascii="Arial" w:hAnsi="Arial" w:cs="Arial"/>
                <w:b/>
              </w:rPr>
              <w:t>structor</w:t>
            </w:r>
            <w:r>
              <w:rPr>
                <w:rFonts w:ascii="Arial" w:hAnsi="Arial" w:cs="Arial"/>
                <w:b/>
              </w:rPr>
              <w:t xml:space="preserve"> of French</w:t>
            </w:r>
          </w:p>
        </w:tc>
      </w:tr>
      <w:tr w:rsidR="00E54341" w:rsidRPr="00AB29BD" w:rsidTr="00AB29BD">
        <w:tc>
          <w:tcPr>
            <w:tcW w:w="2376" w:type="dxa"/>
            <w:shd w:val="clear" w:color="auto" w:fill="auto"/>
          </w:tcPr>
          <w:p w:rsidR="00AB29BD" w:rsidRPr="00AB29BD" w:rsidRDefault="00AB29BD" w:rsidP="00AB29BD">
            <w:pPr>
              <w:spacing w:before="120" w:after="120" w:line="240" w:lineRule="auto"/>
              <w:jc w:val="both"/>
              <w:rPr>
                <w:rFonts w:ascii="Arial" w:hAnsi="Arial" w:cs="Arial"/>
                <w:b/>
              </w:rPr>
            </w:pPr>
            <w:r w:rsidRPr="00AB29BD">
              <w:rPr>
                <w:rFonts w:ascii="Arial" w:hAnsi="Arial" w:cs="Arial"/>
                <w:b/>
              </w:rPr>
              <w:t>Hours</w:t>
            </w:r>
            <w:r w:rsidRPr="00AB29BD">
              <w:rPr>
                <w:rFonts w:ascii="Arial" w:hAnsi="Arial" w:cs="Arial"/>
              </w:rPr>
              <w:t>:</w:t>
            </w:r>
          </w:p>
        </w:tc>
        <w:tc>
          <w:tcPr>
            <w:tcW w:w="6866" w:type="dxa"/>
            <w:shd w:val="clear" w:color="auto" w:fill="auto"/>
          </w:tcPr>
          <w:p w:rsidR="00AB29BD" w:rsidRPr="006E5B2A" w:rsidRDefault="00122E40" w:rsidP="00AB29BD">
            <w:pPr>
              <w:spacing w:before="120" w:after="120" w:line="240" w:lineRule="auto"/>
              <w:jc w:val="both"/>
              <w:rPr>
                <w:rFonts w:ascii="Arial" w:hAnsi="Arial" w:cs="Arial"/>
                <w:b/>
              </w:rPr>
            </w:pPr>
            <w:r w:rsidRPr="006E5B2A">
              <w:rPr>
                <w:rFonts w:ascii="Arial" w:hAnsi="Arial" w:cs="Arial"/>
                <w:b/>
              </w:rPr>
              <w:t>5 days a week, Term time</w:t>
            </w:r>
          </w:p>
        </w:tc>
      </w:tr>
      <w:tr w:rsidR="00E54341" w:rsidRPr="00AB29BD" w:rsidTr="00AB29BD">
        <w:tc>
          <w:tcPr>
            <w:tcW w:w="2376" w:type="dxa"/>
            <w:shd w:val="clear" w:color="auto" w:fill="auto"/>
          </w:tcPr>
          <w:p w:rsidR="00AB29BD" w:rsidRPr="00AB29BD" w:rsidRDefault="00AB29BD" w:rsidP="00AB29BD">
            <w:pPr>
              <w:spacing w:before="120" w:after="120" w:line="240" w:lineRule="auto"/>
              <w:jc w:val="both"/>
              <w:rPr>
                <w:rFonts w:ascii="Arial" w:hAnsi="Arial" w:cs="Arial"/>
                <w:b/>
              </w:rPr>
            </w:pPr>
            <w:r w:rsidRPr="00AB29BD">
              <w:rPr>
                <w:rFonts w:ascii="Arial" w:hAnsi="Arial" w:cs="Arial"/>
                <w:b/>
              </w:rPr>
              <w:t>Grade</w:t>
            </w:r>
            <w:r w:rsidRPr="00AB29BD">
              <w:rPr>
                <w:rFonts w:ascii="Arial" w:hAnsi="Arial" w:cs="Arial"/>
              </w:rPr>
              <w:t>:</w:t>
            </w:r>
            <w:r w:rsidRPr="00AB29BD">
              <w:rPr>
                <w:rFonts w:ascii="Arial" w:hAnsi="Arial" w:cs="Arial"/>
              </w:rPr>
              <w:tab/>
            </w:r>
          </w:p>
        </w:tc>
        <w:tc>
          <w:tcPr>
            <w:tcW w:w="6866" w:type="dxa"/>
            <w:shd w:val="clear" w:color="auto" w:fill="auto"/>
          </w:tcPr>
          <w:p w:rsidR="00AB29BD" w:rsidRPr="00AB29BD" w:rsidRDefault="009C781C" w:rsidP="00AB29BD">
            <w:pPr>
              <w:spacing w:before="120" w:after="120" w:line="240" w:lineRule="auto"/>
              <w:jc w:val="both"/>
              <w:rPr>
                <w:rFonts w:ascii="Arial" w:hAnsi="Arial" w:cs="Arial"/>
                <w:b/>
              </w:rPr>
            </w:pPr>
            <w:r>
              <w:rPr>
                <w:rFonts w:ascii="Arial" w:hAnsi="Arial" w:cs="Arial"/>
                <w:b/>
              </w:rPr>
              <w:t>Unqualified Teacher</w:t>
            </w:r>
            <w:r w:rsidR="00AD12B7">
              <w:rPr>
                <w:rFonts w:ascii="Arial" w:hAnsi="Arial" w:cs="Arial"/>
                <w:b/>
              </w:rPr>
              <w:t xml:space="preserve"> Range – Outer London</w:t>
            </w:r>
          </w:p>
        </w:tc>
      </w:tr>
      <w:tr w:rsidR="00E54341" w:rsidRPr="00AB29BD" w:rsidTr="00AB29BD">
        <w:tc>
          <w:tcPr>
            <w:tcW w:w="2376" w:type="dxa"/>
            <w:shd w:val="clear" w:color="auto" w:fill="auto"/>
          </w:tcPr>
          <w:p w:rsidR="00AB29BD" w:rsidRPr="00AB29BD" w:rsidRDefault="00AB29BD" w:rsidP="00AB29BD">
            <w:pPr>
              <w:spacing w:before="120" w:after="120" w:line="240" w:lineRule="auto"/>
              <w:jc w:val="both"/>
              <w:rPr>
                <w:rFonts w:ascii="Arial" w:hAnsi="Arial" w:cs="Arial"/>
                <w:b/>
              </w:rPr>
            </w:pPr>
            <w:r w:rsidRPr="00AB29BD">
              <w:rPr>
                <w:rFonts w:ascii="Arial" w:hAnsi="Arial" w:cs="Arial"/>
                <w:b/>
              </w:rPr>
              <w:t>Responsible to</w:t>
            </w:r>
            <w:r w:rsidRPr="00AB29BD">
              <w:rPr>
                <w:rFonts w:ascii="Arial" w:hAnsi="Arial" w:cs="Arial"/>
              </w:rPr>
              <w:t>:</w:t>
            </w:r>
          </w:p>
        </w:tc>
        <w:tc>
          <w:tcPr>
            <w:tcW w:w="6866" w:type="dxa"/>
            <w:shd w:val="clear" w:color="auto" w:fill="auto"/>
          </w:tcPr>
          <w:p w:rsidR="00AB29BD" w:rsidRPr="006E5B2A" w:rsidRDefault="009C781C" w:rsidP="001F7BF0">
            <w:pPr>
              <w:spacing w:before="120" w:after="120" w:line="240" w:lineRule="auto"/>
              <w:jc w:val="both"/>
              <w:rPr>
                <w:rFonts w:ascii="Arial" w:hAnsi="Arial" w:cs="Arial"/>
                <w:b/>
              </w:rPr>
            </w:pPr>
            <w:r w:rsidRPr="006E5B2A">
              <w:rPr>
                <w:rFonts w:ascii="Arial" w:hAnsi="Arial" w:cs="Arial"/>
                <w:b/>
              </w:rPr>
              <w:t xml:space="preserve">Head of </w:t>
            </w:r>
            <w:r w:rsidR="001F7BF0" w:rsidRPr="006E5B2A">
              <w:rPr>
                <w:rFonts w:ascii="Arial" w:hAnsi="Arial" w:cs="Arial"/>
                <w:b/>
              </w:rPr>
              <w:t xml:space="preserve">Learning Support </w:t>
            </w:r>
            <w:r w:rsidRPr="006E5B2A">
              <w:rPr>
                <w:rFonts w:ascii="Arial" w:hAnsi="Arial" w:cs="Arial"/>
                <w:b/>
              </w:rPr>
              <w:t>Faculty</w:t>
            </w:r>
          </w:p>
        </w:tc>
      </w:tr>
    </w:tbl>
    <w:p w:rsidR="00AB29BD" w:rsidRDefault="00AB29BD" w:rsidP="00AB29BD">
      <w:pPr>
        <w:spacing w:after="0"/>
        <w:jc w:val="both"/>
        <w:rPr>
          <w:rFonts w:ascii="Arial" w:hAnsi="Arial" w:cs="Arial"/>
          <w:b/>
        </w:rPr>
      </w:pPr>
    </w:p>
    <w:p w:rsidR="00AB29BD" w:rsidRDefault="00AB29BD" w:rsidP="00AB29BD">
      <w:pPr>
        <w:spacing w:after="0"/>
        <w:jc w:val="both"/>
        <w:rPr>
          <w:rFonts w:ascii="Arial" w:hAnsi="Arial" w:cs="Arial"/>
          <w:b/>
        </w:rPr>
      </w:pPr>
    </w:p>
    <w:p w:rsidR="00AB29BD" w:rsidRPr="003A1248" w:rsidRDefault="00AB29BD" w:rsidP="00AB29BD">
      <w:pPr>
        <w:rPr>
          <w:rFonts w:ascii="Arial" w:hAnsi="Arial" w:cs="Arial"/>
          <w:b/>
        </w:rPr>
      </w:pPr>
      <w:r w:rsidRPr="003A1248">
        <w:rPr>
          <w:rFonts w:ascii="Arial" w:hAnsi="Arial" w:cs="Arial"/>
          <w:b/>
        </w:rPr>
        <w:t>Purpose and Duties:</w:t>
      </w:r>
    </w:p>
    <w:p w:rsidR="00122E40" w:rsidRPr="00122E40" w:rsidRDefault="00122E40" w:rsidP="00122E40">
      <w:pPr>
        <w:pStyle w:val="BodyText"/>
        <w:numPr>
          <w:ilvl w:val="0"/>
          <w:numId w:val="1"/>
        </w:numPr>
        <w:spacing w:after="120"/>
        <w:rPr>
          <w:rFonts w:ascii="Arial" w:hAnsi="Arial" w:cs="Arial"/>
          <w:sz w:val="22"/>
          <w:szCs w:val="22"/>
        </w:rPr>
      </w:pPr>
      <w:bookmarkStart w:id="0" w:name="_GoBack"/>
      <w:r w:rsidRPr="00122E40">
        <w:rPr>
          <w:rFonts w:ascii="Arial" w:eastAsia="Times New Roman" w:hAnsi="Arial" w:cs="Arial"/>
          <w:sz w:val="22"/>
          <w:szCs w:val="22"/>
          <w:lang w:val="en" w:eastAsia="en-GB"/>
        </w:rPr>
        <w:t>Teach French across the school with a particular focus on Learning Support</w:t>
      </w:r>
    </w:p>
    <w:p w:rsidR="00122E40" w:rsidRPr="00122E40" w:rsidRDefault="00122E40" w:rsidP="00122E40">
      <w:pPr>
        <w:pStyle w:val="BodyText"/>
        <w:numPr>
          <w:ilvl w:val="0"/>
          <w:numId w:val="1"/>
        </w:numPr>
        <w:spacing w:after="120"/>
        <w:rPr>
          <w:rFonts w:ascii="Arial" w:hAnsi="Arial" w:cs="Arial"/>
          <w:sz w:val="22"/>
          <w:szCs w:val="22"/>
        </w:rPr>
      </w:pPr>
      <w:r w:rsidRPr="00122E40">
        <w:rPr>
          <w:rFonts w:ascii="Arial" w:eastAsia="Times New Roman" w:hAnsi="Arial" w:cs="Arial"/>
          <w:sz w:val="22"/>
          <w:szCs w:val="22"/>
          <w:lang w:val="en" w:eastAsia="en-GB"/>
        </w:rPr>
        <w:t xml:space="preserve">Assist and support the MFL Faculty in teaching French across the school </w:t>
      </w:r>
      <w:r w:rsidR="001F7BF0">
        <w:rPr>
          <w:rFonts w:ascii="Arial" w:eastAsia="Times New Roman" w:hAnsi="Arial" w:cs="Arial"/>
          <w:sz w:val="22"/>
          <w:szCs w:val="22"/>
          <w:lang w:val="en" w:eastAsia="en-GB"/>
        </w:rPr>
        <w:t>with a particular focus on Learning Support</w:t>
      </w:r>
    </w:p>
    <w:p w:rsidR="00122E40" w:rsidRPr="00122E40" w:rsidRDefault="00122E40" w:rsidP="00122E40">
      <w:pPr>
        <w:pStyle w:val="BodyText"/>
        <w:numPr>
          <w:ilvl w:val="0"/>
          <w:numId w:val="1"/>
        </w:numPr>
        <w:spacing w:after="120"/>
        <w:rPr>
          <w:rFonts w:ascii="Arial" w:hAnsi="Arial" w:cs="Arial"/>
          <w:sz w:val="22"/>
          <w:szCs w:val="22"/>
        </w:rPr>
      </w:pPr>
      <w:r w:rsidRPr="00122E40">
        <w:rPr>
          <w:rFonts w:ascii="Arial" w:eastAsia="Times New Roman" w:hAnsi="Arial" w:cs="Arial"/>
          <w:sz w:val="22"/>
          <w:szCs w:val="22"/>
          <w:lang w:val="en" w:eastAsia="en-GB"/>
        </w:rPr>
        <w:t xml:space="preserve">Support Winchmore School’s International student exchange </w:t>
      </w:r>
      <w:proofErr w:type="spellStart"/>
      <w:r w:rsidRPr="00122E40">
        <w:rPr>
          <w:rFonts w:ascii="Arial" w:eastAsia="Times New Roman" w:hAnsi="Arial" w:cs="Arial"/>
          <w:sz w:val="22"/>
          <w:szCs w:val="22"/>
          <w:lang w:val="en" w:eastAsia="en-GB"/>
        </w:rPr>
        <w:t>programme</w:t>
      </w:r>
      <w:proofErr w:type="spellEnd"/>
      <w:r w:rsidRPr="00122E40">
        <w:rPr>
          <w:rFonts w:ascii="Arial" w:eastAsia="Times New Roman" w:hAnsi="Arial" w:cs="Arial"/>
          <w:sz w:val="22"/>
          <w:szCs w:val="22"/>
          <w:lang w:val="en" w:eastAsia="en-GB"/>
        </w:rPr>
        <w:t xml:space="preserve"> </w:t>
      </w:r>
      <w:r w:rsidRPr="00122E40">
        <w:rPr>
          <w:rFonts w:ascii="Arial" w:hAnsi="Arial" w:cs="Arial"/>
          <w:sz w:val="22"/>
          <w:szCs w:val="22"/>
        </w:rPr>
        <w:t>which includes designing tailor-made TEFL courses for international exchange students</w:t>
      </w:r>
    </w:p>
    <w:p w:rsidR="00122E40" w:rsidRPr="00122E40" w:rsidRDefault="00122E40" w:rsidP="00122E40">
      <w:pPr>
        <w:pStyle w:val="BodyText"/>
        <w:numPr>
          <w:ilvl w:val="0"/>
          <w:numId w:val="1"/>
        </w:numPr>
        <w:spacing w:after="120"/>
        <w:rPr>
          <w:rFonts w:ascii="Arial" w:hAnsi="Arial" w:cs="Arial"/>
          <w:sz w:val="22"/>
          <w:szCs w:val="22"/>
        </w:rPr>
      </w:pPr>
      <w:r w:rsidRPr="00122E40">
        <w:rPr>
          <w:rFonts w:ascii="Arial" w:hAnsi="Arial" w:cs="Arial"/>
          <w:sz w:val="22"/>
          <w:szCs w:val="22"/>
        </w:rPr>
        <w:t>Teach ESOL courses to parents and carers of students who are learning English as an additional language</w:t>
      </w:r>
    </w:p>
    <w:bookmarkEnd w:id="0"/>
    <w:p w:rsidR="00AB29BD" w:rsidRDefault="00AB29BD" w:rsidP="00AB29BD">
      <w:pPr>
        <w:spacing w:after="0"/>
        <w:jc w:val="both"/>
        <w:rPr>
          <w:rFonts w:ascii="Arial" w:hAnsi="Arial" w:cs="Arial"/>
          <w:b/>
        </w:rPr>
      </w:pPr>
    </w:p>
    <w:p w:rsidR="00AB29BD" w:rsidRPr="003A1248" w:rsidRDefault="00AB29BD" w:rsidP="00AB29BD">
      <w:pPr>
        <w:spacing w:after="0"/>
        <w:jc w:val="both"/>
        <w:rPr>
          <w:rFonts w:ascii="Arial" w:hAnsi="Arial" w:cs="Arial"/>
          <w:b/>
        </w:rPr>
      </w:pPr>
      <w:r w:rsidRPr="003A1248">
        <w:rPr>
          <w:rFonts w:ascii="Arial" w:hAnsi="Arial" w:cs="Arial"/>
          <w:b/>
        </w:rPr>
        <w:t>Equal Opportunities</w:t>
      </w:r>
    </w:p>
    <w:p w:rsidR="00AB29BD" w:rsidRPr="003A1248" w:rsidRDefault="00AB29BD" w:rsidP="00AB29BD">
      <w:pPr>
        <w:spacing w:after="0"/>
        <w:jc w:val="both"/>
        <w:rPr>
          <w:rFonts w:ascii="Arial" w:hAnsi="Arial" w:cs="Arial"/>
        </w:rPr>
      </w:pPr>
      <w:r>
        <w:rPr>
          <w:rFonts w:ascii="Arial" w:hAnsi="Arial" w:cs="Arial"/>
        </w:rPr>
        <w:t>The School</w:t>
      </w:r>
      <w:r w:rsidRPr="003A1248">
        <w:rPr>
          <w:rFonts w:ascii="Arial" w:hAnsi="Arial" w:cs="Arial"/>
        </w:rPr>
        <w:t xml:space="preserve"> is committed to achieving equality of opportunity in its service provision and amongst the workforce.    All employees are, therefore, expected to understand, comply with and promote the School’s policies in this respect and, in particular, take care not to commit any acts of unlawful discrimination.</w:t>
      </w:r>
    </w:p>
    <w:p w:rsidR="00AB29BD" w:rsidRPr="003A1248" w:rsidRDefault="00AB29BD" w:rsidP="00AB29BD">
      <w:pPr>
        <w:spacing w:after="0"/>
        <w:jc w:val="both"/>
        <w:rPr>
          <w:rFonts w:ascii="Arial" w:hAnsi="Arial" w:cs="Arial"/>
          <w:b/>
        </w:rPr>
      </w:pPr>
    </w:p>
    <w:p w:rsidR="00AB29BD" w:rsidRPr="003A1248" w:rsidRDefault="00AB29BD" w:rsidP="00AB29BD">
      <w:pPr>
        <w:spacing w:after="0"/>
        <w:jc w:val="both"/>
        <w:rPr>
          <w:rFonts w:ascii="Arial" w:hAnsi="Arial" w:cs="Arial"/>
          <w:b/>
        </w:rPr>
      </w:pPr>
      <w:r w:rsidRPr="003A1248">
        <w:rPr>
          <w:rFonts w:ascii="Arial" w:hAnsi="Arial" w:cs="Arial"/>
          <w:b/>
        </w:rPr>
        <w:t>Health &amp; Safety</w:t>
      </w:r>
    </w:p>
    <w:p w:rsidR="00AB29BD" w:rsidRPr="003A1248" w:rsidRDefault="00AB29BD" w:rsidP="00AB29BD">
      <w:pPr>
        <w:spacing w:after="0"/>
        <w:jc w:val="both"/>
        <w:rPr>
          <w:rFonts w:ascii="Arial" w:hAnsi="Arial" w:cs="Arial"/>
        </w:rPr>
      </w:pPr>
      <w:r w:rsidRPr="003A1248">
        <w:rPr>
          <w:rFonts w:ascii="Arial" w:hAnsi="Arial" w:cs="Arial"/>
        </w:rPr>
        <w:t xml:space="preserve">The </w:t>
      </w:r>
      <w:proofErr w:type="spellStart"/>
      <w:r w:rsidRPr="003A1248">
        <w:rPr>
          <w:rFonts w:ascii="Arial" w:hAnsi="Arial" w:cs="Arial"/>
        </w:rPr>
        <w:t>postholder</w:t>
      </w:r>
      <w:proofErr w:type="spellEnd"/>
      <w:r w:rsidRPr="003A1248">
        <w:rPr>
          <w:rFonts w:ascii="Arial" w:hAnsi="Arial" w:cs="Arial"/>
        </w:rPr>
        <w:t xml:space="preserve"> shall ensure that the duties of the post are undertaken with due regard to the Council’s, the Education, Children’s Services &amp; Leisure</w:t>
      </w:r>
      <w:r>
        <w:rPr>
          <w:rFonts w:ascii="Arial" w:hAnsi="Arial" w:cs="Arial"/>
        </w:rPr>
        <w:t xml:space="preserve"> Department’s, and the School’s</w:t>
      </w:r>
      <w:r w:rsidRPr="003A1248">
        <w:rPr>
          <w:rFonts w:ascii="Arial" w:hAnsi="Arial" w:cs="Arial"/>
        </w:rPr>
        <w:t xml:space="preserve"> Health &amp; Safety Policy statements.   S/he shall also have regard to his/her personal responsibilities under the provisions of the Health &amp; Safety at Work Act 1974 and all other relevant legislation.    You should, therefore, ensure that you familiarise yourself with these documents.</w:t>
      </w:r>
    </w:p>
    <w:p w:rsidR="00AB29BD" w:rsidRPr="003A1248" w:rsidRDefault="00AB29BD" w:rsidP="00AB29BD">
      <w:pPr>
        <w:spacing w:after="0"/>
        <w:jc w:val="both"/>
        <w:rPr>
          <w:rFonts w:ascii="Arial" w:hAnsi="Arial" w:cs="Arial"/>
        </w:rPr>
      </w:pPr>
    </w:p>
    <w:p w:rsidR="00AB29BD" w:rsidRPr="003A1248" w:rsidRDefault="00AB29BD" w:rsidP="00AB29BD">
      <w:pPr>
        <w:spacing w:after="0"/>
        <w:jc w:val="both"/>
        <w:rPr>
          <w:rFonts w:ascii="Arial" w:hAnsi="Arial" w:cs="Arial"/>
        </w:rPr>
      </w:pPr>
      <w:r w:rsidRPr="003A1248">
        <w:rPr>
          <w:rFonts w:ascii="Arial" w:hAnsi="Arial" w:cs="Arial"/>
        </w:rPr>
        <w:t>In general, all staff are required to take due care for their own safety and the safety of their fellow employees at all times.</w:t>
      </w:r>
    </w:p>
    <w:p w:rsidR="00AB29BD" w:rsidRPr="003A1248" w:rsidRDefault="00AB29BD" w:rsidP="00AB29BD">
      <w:pPr>
        <w:spacing w:after="0"/>
        <w:jc w:val="both"/>
        <w:rPr>
          <w:rFonts w:ascii="Arial" w:hAnsi="Arial" w:cs="Arial"/>
          <w:b/>
        </w:rPr>
      </w:pPr>
    </w:p>
    <w:p w:rsidR="00AB29BD" w:rsidRPr="003A1248" w:rsidRDefault="00AB29BD" w:rsidP="00AB29BD">
      <w:pPr>
        <w:spacing w:after="0"/>
        <w:jc w:val="both"/>
        <w:rPr>
          <w:rFonts w:ascii="Arial" w:hAnsi="Arial" w:cs="Arial"/>
          <w:b/>
        </w:rPr>
      </w:pPr>
      <w:r w:rsidRPr="003A1248">
        <w:rPr>
          <w:rFonts w:ascii="Arial" w:hAnsi="Arial" w:cs="Arial"/>
          <w:b/>
        </w:rPr>
        <w:t>Safeguarding of Children and Young People</w:t>
      </w:r>
    </w:p>
    <w:p w:rsidR="00AB29BD" w:rsidRPr="003A1248" w:rsidRDefault="00AB29BD" w:rsidP="00AB29BD">
      <w:pPr>
        <w:spacing w:after="0"/>
        <w:jc w:val="both"/>
        <w:rPr>
          <w:rFonts w:ascii="Arial" w:hAnsi="Arial" w:cs="Arial"/>
          <w:b/>
        </w:rPr>
      </w:pPr>
      <w:r w:rsidRPr="003A1248">
        <w:rPr>
          <w:rFonts w:ascii="Arial" w:hAnsi="Arial" w:cs="Arial"/>
        </w:rPr>
        <w:t>All schools in Enfield are committed to safeguarding and promoting the welfare of children and</w:t>
      </w:r>
      <w:r>
        <w:rPr>
          <w:rFonts w:ascii="Arial" w:hAnsi="Arial" w:cs="Arial"/>
        </w:rPr>
        <w:t xml:space="preserve"> young people and anyone applying to work in our schools is</w:t>
      </w:r>
      <w:r w:rsidRPr="003A1248">
        <w:rPr>
          <w:rFonts w:ascii="Arial" w:hAnsi="Arial" w:cs="Arial"/>
        </w:rPr>
        <w:t xml:space="preserve"> expected to share this commitment</w:t>
      </w:r>
      <w:r w:rsidRPr="003A1248">
        <w:rPr>
          <w:rFonts w:ascii="Arial" w:hAnsi="Arial" w:cs="Arial"/>
          <w:b/>
        </w:rPr>
        <w:t>.</w:t>
      </w:r>
    </w:p>
    <w:sectPr w:rsidR="00AB29BD" w:rsidRPr="003A1248" w:rsidSect="00122E4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A70"/>
    <w:multiLevelType w:val="hybridMultilevel"/>
    <w:tmpl w:val="A02C41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6BF56AE"/>
    <w:multiLevelType w:val="hybridMultilevel"/>
    <w:tmpl w:val="40B0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9848B4"/>
    <w:multiLevelType w:val="hybridMultilevel"/>
    <w:tmpl w:val="2A16E81A"/>
    <w:lvl w:ilvl="0" w:tplc="04090001">
      <w:start w:val="1"/>
      <w:numFmt w:val="bullet"/>
      <w:lvlText w:val=""/>
      <w:lvlJc w:val="left"/>
      <w:pPr>
        <w:tabs>
          <w:tab w:val="num" w:pos="360"/>
        </w:tabs>
        <w:ind w:left="36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B"/>
    <w:rsid w:val="00122E40"/>
    <w:rsid w:val="001F7BF0"/>
    <w:rsid w:val="002B58EC"/>
    <w:rsid w:val="00447BFB"/>
    <w:rsid w:val="0051315A"/>
    <w:rsid w:val="00624686"/>
    <w:rsid w:val="006E5B2A"/>
    <w:rsid w:val="00754A9F"/>
    <w:rsid w:val="008B44D3"/>
    <w:rsid w:val="009C781C"/>
    <w:rsid w:val="00AA7DC8"/>
    <w:rsid w:val="00AB29BD"/>
    <w:rsid w:val="00AC718B"/>
    <w:rsid w:val="00AD12B7"/>
    <w:rsid w:val="00B804B9"/>
    <w:rsid w:val="00E54341"/>
    <w:rsid w:val="00FE1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9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29BD"/>
    <w:rPr>
      <w:rFonts w:ascii="Tahoma" w:hAnsi="Tahoma" w:cs="Tahoma"/>
      <w:sz w:val="16"/>
      <w:szCs w:val="16"/>
    </w:rPr>
  </w:style>
  <w:style w:type="paragraph" w:styleId="BodyText">
    <w:name w:val="Body Text"/>
    <w:basedOn w:val="Normal"/>
    <w:link w:val="BodyTextChar"/>
    <w:uiPriority w:val="99"/>
    <w:unhideWhenUsed/>
    <w:rsid w:val="009C781C"/>
    <w:pPr>
      <w:spacing w:after="0" w:line="240" w:lineRule="auto"/>
    </w:pPr>
    <w:rPr>
      <w:rFonts w:ascii="Comic Sans MS" w:eastAsiaTheme="minorHAnsi" w:hAnsi="Comic Sans MS"/>
      <w:sz w:val="44"/>
      <w:szCs w:val="44"/>
    </w:rPr>
  </w:style>
  <w:style w:type="character" w:customStyle="1" w:styleId="BodyTextChar">
    <w:name w:val="Body Text Char"/>
    <w:basedOn w:val="DefaultParagraphFont"/>
    <w:link w:val="BodyText"/>
    <w:uiPriority w:val="99"/>
    <w:rsid w:val="009C781C"/>
    <w:rPr>
      <w:rFonts w:ascii="Comic Sans MS" w:eastAsiaTheme="minorHAnsi" w:hAnsi="Comic Sans MS"/>
      <w:sz w:val="44"/>
      <w:szCs w:val="4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9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29BD"/>
    <w:rPr>
      <w:rFonts w:ascii="Tahoma" w:hAnsi="Tahoma" w:cs="Tahoma"/>
      <w:sz w:val="16"/>
      <w:szCs w:val="16"/>
    </w:rPr>
  </w:style>
  <w:style w:type="paragraph" w:styleId="BodyText">
    <w:name w:val="Body Text"/>
    <w:basedOn w:val="Normal"/>
    <w:link w:val="BodyTextChar"/>
    <w:uiPriority w:val="99"/>
    <w:unhideWhenUsed/>
    <w:rsid w:val="009C781C"/>
    <w:pPr>
      <w:spacing w:after="0" w:line="240" w:lineRule="auto"/>
    </w:pPr>
    <w:rPr>
      <w:rFonts w:ascii="Comic Sans MS" w:eastAsiaTheme="minorHAnsi" w:hAnsi="Comic Sans MS"/>
      <w:sz w:val="44"/>
      <w:szCs w:val="44"/>
    </w:rPr>
  </w:style>
  <w:style w:type="character" w:customStyle="1" w:styleId="BodyTextChar">
    <w:name w:val="Body Text Char"/>
    <w:basedOn w:val="DefaultParagraphFont"/>
    <w:link w:val="BodyText"/>
    <w:uiPriority w:val="99"/>
    <w:rsid w:val="009C781C"/>
    <w:rPr>
      <w:rFonts w:ascii="Comic Sans MS" w:eastAsiaTheme="minorHAnsi" w:hAnsi="Comic Sans MS"/>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rlowe\AppData\Local\Microsoft\Windows\Temporary%20Internet%20Files\Content.Outlook\9XAFHPBS\Vacancies%20-%20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Vacancies - job description</Template>
  <TotalTime>94</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Winchmore School</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Marlowe</dc:creator>
  <cp:lastModifiedBy>Justine Marlowe</cp:lastModifiedBy>
  <cp:revision>3</cp:revision>
  <cp:lastPrinted>2018-08-06T10:07:00Z</cp:lastPrinted>
  <dcterms:created xsi:type="dcterms:W3CDTF">2018-08-06T10:05:00Z</dcterms:created>
  <dcterms:modified xsi:type="dcterms:W3CDTF">2018-08-06T12:43:00Z</dcterms:modified>
</cp:coreProperties>
</file>