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02" w:rsidRPr="001D6765" w:rsidRDefault="00B50202" w:rsidP="001D6765">
      <w:pPr>
        <w:spacing w:after="0" w:line="240" w:lineRule="auto"/>
        <w:rPr>
          <w:b/>
          <w:sz w:val="32"/>
        </w:rPr>
      </w:pPr>
      <w:r w:rsidRPr="001D6765">
        <w:rPr>
          <w:b/>
          <w:noProof/>
          <w:sz w:val="32"/>
          <w:lang w:eastAsia="en-GB"/>
        </w:rPr>
        <w:drawing>
          <wp:anchor distT="0" distB="0" distL="114300" distR="114300" simplePos="0" relativeHeight="251658240" behindDoc="1" locked="0" layoutInCell="1" allowOverlap="1" wp14:anchorId="261EA631" wp14:editId="00DA61F9">
            <wp:simplePos x="0" y="0"/>
            <wp:positionH relativeFrom="column">
              <wp:posOffset>5343525</wp:posOffset>
            </wp:positionH>
            <wp:positionV relativeFrom="paragraph">
              <wp:posOffset>-180975</wp:posOffset>
            </wp:positionV>
            <wp:extent cx="847725" cy="768350"/>
            <wp:effectExtent l="0" t="0" r="9525" b="0"/>
            <wp:wrapThrough wrapText="bothSides">
              <wp:wrapPolygon edited="0">
                <wp:start x="0" y="0"/>
                <wp:lineTo x="0" y="20886"/>
                <wp:lineTo x="21357" y="20886"/>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arm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768350"/>
                    </a:xfrm>
                    <a:prstGeom prst="rect">
                      <a:avLst/>
                    </a:prstGeom>
                  </pic:spPr>
                </pic:pic>
              </a:graphicData>
            </a:graphic>
            <wp14:sizeRelH relativeFrom="page">
              <wp14:pctWidth>0</wp14:pctWidth>
            </wp14:sizeRelH>
            <wp14:sizeRelV relativeFrom="page">
              <wp14:pctHeight>0</wp14:pctHeight>
            </wp14:sizeRelV>
          </wp:anchor>
        </w:drawing>
      </w:r>
      <w:r w:rsidRPr="001D6765">
        <w:rPr>
          <w:b/>
          <w:sz w:val="32"/>
        </w:rPr>
        <w:t>Meadow Farm Community Primary School</w:t>
      </w:r>
    </w:p>
    <w:p w:rsidR="003812CC" w:rsidRPr="00B50202" w:rsidRDefault="00B50202" w:rsidP="001D6765">
      <w:pPr>
        <w:spacing w:after="0" w:line="240" w:lineRule="auto"/>
        <w:rPr>
          <w:i/>
        </w:rPr>
      </w:pPr>
      <w:r w:rsidRPr="00B50202">
        <w:rPr>
          <w:i/>
        </w:rPr>
        <w:t>“Confident, caring and accomplished children”</w:t>
      </w:r>
    </w:p>
    <w:p w:rsidR="00B50202" w:rsidRDefault="00B50202"/>
    <w:p w:rsidR="00B50202" w:rsidRPr="005E48FA" w:rsidRDefault="00355C64" w:rsidP="00B50202">
      <w:pPr>
        <w:jc w:val="center"/>
        <w:rPr>
          <w:b/>
          <w:sz w:val="28"/>
        </w:rPr>
      </w:pPr>
      <w:r>
        <w:rPr>
          <w:b/>
          <w:sz w:val="28"/>
        </w:rPr>
        <w:t>Head Teacher Person Specification</w:t>
      </w:r>
    </w:p>
    <w:p w:rsidR="00355C64" w:rsidRDefault="00355C64">
      <w:pPr>
        <w:rPr>
          <w:b/>
        </w:rPr>
      </w:pPr>
    </w:p>
    <w:tbl>
      <w:tblPr>
        <w:tblStyle w:val="TableGrid"/>
        <w:tblW w:w="9464" w:type="dxa"/>
        <w:tblLayout w:type="fixed"/>
        <w:tblLook w:val="04A0" w:firstRow="1" w:lastRow="0" w:firstColumn="1" w:lastColumn="0" w:noHBand="0" w:noVBand="1"/>
      </w:tblPr>
      <w:tblGrid>
        <w:gridCol w:w="7020"/>
        <w:gridCol w:w="1310"/>
        <w:gridCol w:w="1134"/>
      </w:tblGrid>
      <w:tr w:rsidR="00D03C03" w:rsidRPr="00355C64" w:rsidTr="00C17666">
        <w:tc>
          <w:tcPr>
            <w:tcW w:w="7020" w:type="dxa"/>
            <w:shd w:val="clear" w:color="auto" w:fill="D9D9D9" w:themeFill="background1" w:themeFillShade="D9"/>
          </w:tcPr>
          <w:p w:rsidR="00D03C03" w:rsidRPr="00D03C03" w:rsidRDefault="00D03C03" w:rsidP="00D03C03">
            <w:pPr>
              <w:rPr>
                <w:b/>
              </w:rPr>
            </w:pPr>
            <w:r w:rsidRPr="00D03C03">
              <w:rPr>
                <w:b/>
              </w:rPr>
              <w:t>Professional qualifications</w:t>
            </w:r>
            <w:r w:rsidR="00C17666">
              <w:rPr>
                <w:b/>
              </w:rPr>
              <w:t xml:space="preserve"> &amp; experience</w:t>
            </w:r>
          </w:p>
        </w:tc>
        <w:tc>
          <w:tcPr>
            <w:tcW w:w="1310" w:type="dxa"/>
            <w:shd w:val="clear" w:color="auto" w:fill="D9D9D9" w:themeFill="background1" w:themeFillShade="D9"/>
          </w:tcPr>
          <w:p w:rsidR="00D03C03" w:rsidRPr="00D03C03" w:rsidRDefault="00C17666" w:rsidP="00C17666">
            <w:pPr>
              <w:ind w:left="39"/>
              <w:jc w:val="center"/>
              <w:rPr>
                <w:i/>
              </w:rPr>
            </w:pPr>
            <w:r>
              <w:rPr>
                <w:i/>
              </w:rPr>
              <w:t xml:space="preserve">Essential </w:t>
            </w:r>
            <w:r w:rsidR="00D03C03" w:rsidRPr="00D03C03">
              <w:rPr>
                <w:i/>
              </w:rPr>
              <w:t>Desirable</w:t>
            </w:r>
          </w:p>
        </w:tc>
        <w:tc>
          <w:tcPr>
            <w:tcW w:w="1134" w:type="dxa"/>
            <w:shd w:val="clear" w:color="auto" w:fill="D9D9D9" w:themeFill="background1" w:themeFillShade="D9"/>
          </w:tcPr>
          <w:p w:rsidR="00D03C03" w:rsidRPr="00D03C03" w:rsidRDefault="00745422" w:rsidP="00C17666">
            <w:pPr>
              <w:jc w:val="center"/>
              <w:rPr>
                <w:i/>
              </w:rPr>
            </w:pPr>
            <w:r>
              <w:rPr>
                <w:i/>
              </w:rPr>
              <w:t>Eviden</w:t>
            </w:r>
            <w:r w:rsidR="00D03C03" w:rsidRPr="00D03C03">
              <w:rPr>
                <w:i/>
              </w:rPr>
              <w:t>ce base</w:t>
            </w:r>
          </w:p>
        </w:tc>
      </w:tr>
      <w:tr w:rsidR="00355C64" w:rsidRPr="00355C64" w:rsidTr="00D03C03">
        <w:tc>
          <w:tcPr>
            <w:tcW w:w="7020" w:type="dxa"/>
          </w:tcPr>
          <w:p w:rsidR="00D03C03" w:rsidRDefault="00D03C03" w:rsidP="0096378A">
            <w:pPr>
              <w:pStyle w:val="ListParagraph"/>
              <w:numPr>
                <w:ilvl w:val="0"/>
                <w:numId w:val="6"/>
              </w:numPr>
              <w:ind w:left="322" w:hanging="322"/>
            </w:pPr>
            <w:r>
              <w:t>Qualified Teacher Status</w:t>
            </w:r>
            <w:r w:rsidR="005000ED">
              <w:t>.</w:t>
            </w:r>
          </w:p>
          <w:p w:rsidR="00C17666" w:rsidRDefault="00C17666" w:rsidP="00C17666">
            <w:pPr>
              <w:pStyle w:val="ListParagraph"/>
              <w:numPr>
                <w:ilvl w:val="0"/>
                <w:numId w:val="6"/>
              </w:numPr>
              <w:ind w:left="284" w:hanging="284"/>
            </w:pPr>
            <w:r>
              <w:t>Substantial experience at appropriate Key Stages including Foundation, KS1 &amp; KS2</w:t>
            </w:r>
            <w:r w:rsidR="005000ED">
              <w:t>.</w:t>
            </w:r>
          </w:p>
          <w:p w:rsidR="00745422" w:rsidRDefault="000B2B12" w:rsidP="00745422">
            <w:pPr>
              <w:pStyle w:val="ListParagraph"/>
              <w:numPr>
                <w:ilvl w:val="0"/>
                <w:numId w:val="6"/>
              </w:numPr>
              <w:ind w:left="322" w:hanging="322"/>
            </w:pPr>
            <w:r>
              <w:t>Recent e</w:t>
            </w:r>
            <w:r w:rsidR="00745422">
              <w:t>xperience as a serving Head Teacher or hold an NPQH.</w:t>
            </w:r>
          </w:p>
          <w:p w:rsidR="000B2B12" w:rsidRPr="00355C64" w:rsidRDefault="00A62F1A" w:rsidP="00745422">
            <w:pPr>
              <w:pStyle w:val="ListParagraph"/>
              <w:numPr>
                <w:ilvl w:val="0"/>
                <w:numId w:val="6"/>
              </w:numPr>
              <w:ind w:left="322" w:hanging="322"/>
            </w:pPr>
            <w:r>
              <w:t>Recent s</w:t>
            </w:r>
            <w:r w:rsidR="000B2B12">
              <w:t>enior management experience as Head Teacher, Deputy Head Teacher or Assistant Head Teacher</w:t>
            </w:r>
          </w:p>
        </w:tc>
        <w:tc>
          <w:tcPr>
            <w:tcW w:w="1310" w:type="dxa"/>
          </w:tcPr>
          <w:p w:rsidR="00C17666" w:rsidRDefault="00C17666" w:rsidP="00745422">
            <w:pPr>
              <w:ind w:left="39"/>
              <w:jc w:val="center"/>
            </w:pPr>
            <w:r>
              <w:t>E</w:t>
            </w:r>
          </w:p>
          <w:p w:rsidR="00C17666" w:rsidRDefault="00C701D9" w:rsidP="00C17666">
            <w:pPr>
              <w:ind w:left="39"/>
              <w:jc w:val="center"/>
            </w:pPr>
            <w:r>
              <w:t>D</w:t>
            </w:r>
            <w:bookmarkStart w:id="0" w:name="_GoBack"/>
            <w:bookmarkEnd w:id="0"/>
          </w:p>
          <w:p w:rsidR="00745422" w:rsidRDefault="00745422" w:rsidP="00C17666">
            <w:pPr>
              <w:ind w:left="39"/>
              <w:jc w:val="center"/>
            </w:pPr>
          </w:p>
          <w:p w:rsidR="00745422" w:rsidRDefault="00745422" w:rsidP="00C17666">
            <w:pPr>
              <w:ind w:left="39"/>
              <w:jc w:val="center"/>
            </w:pPr>
            <w:r>
              <w:t>D</w:t>
            </w:r>
          </w:p>
          <w:p w:rsidR="000B2B12" w:rsidRPr="00355C64" w:rsidRDefault="000B2B12" w:rsidP="00C17666">
            <w:pPr>
              <w:ind w:left="39"/>
              <w:jc w:val="center"/>
            </w:pPr>
            <w:r>
              <w:t>E</w:t>
            </w:r>
          </w:p>
        </w:tc>
        <w:tc>
          <w:tcPr>
            <w:tcW w:w="1134" w:type="dxa"/>
          </w:tcPr>
          <w:p w:rsidR="00355C64" w:rsidRDefault="00355C64" w:rsidP="00745422">
            <w:pPr>
              <w:jc w:val="center"/>
            </w:pPr>
            <w:r>
              <w:t>AF</w:t>
            </w:r>
          </w:p>
          <w:p w:rsidR="00355C64" w:rsidRDefault="00355C64" w:rsidP="00745422">
            <w:pPr>
              <w:jc w:val="center"/>
            </w:pPr>
            <w:r>
              <w:t>AF</w:t>
            </w:r>
          </w:p>
          <w:p w:rsidR="00745422" w:rsidRDefault="00745422" w:rsidP="00745422">
            <w:pPr>
              <w:jc w:val="center"/>
            </w:pPr>
          </w:p>
          <w:p w:rsidR="00ED4FC6" w:rsidRDefault="00ED4FC6" w:rsidP="00745422">
            <w:pPr>
              <w:jc w:val="center"/>
            </w:pPr>
            <w:r>
              <w:t>AF</w:t>
            </w:r>
          </w:p>
          <w:p w:rsidR="000B2B12" w:rsidRPr="00355C64" w:rsidRDefault="000B2B12" w:rsidP="00745422">
            <w:pPr>
              <w:jc w:val="center"/>
            </w:pPr>
            <w:r>
              <w:t>AF</w:t>
            </w:r>
          </w:p>
        </w:tc>
      </w:tr>
      <w:tr w:rsidR="00B63298" w:rsidRPr="00355C64" w:rsidTr="005000ED">
        <w:trPr>
          <w:trHeight w:val="454"/>
        </w:trPr>
        <w:tc>
          <w:tcPr>
            <w:tcW w:w="7020" w:type="dxa"/>
            <w:shd w:val="clear" w:color="auto" w:fill="D9D9D9" w:themeFill="background1" w:themeFillShade="D9"/>
          </w:tcPr>
          <w:p w:rsidR="00B63298" w:rsidRDefault="00B63298" w:rsidP="00B63298">
            <w:r w:rsidRPr="00D03C03">
              <w:rPr>
                <w:b/>
              </w:rPr>
              <w:t>Leading in teaching and learning</w:t>
            </w:r>
          </w:p>
        </w:tc>
        <w:tc>
          <w:tcPr>
            <w:tcW w:w="1310" w:type="dxa"/>
            <w:shd w:val="clear" w:color="auto" w:fill="D9D9D9" w:themeFill="background1" w:themeFillShade="D9"/>
          </w:tcPr>
          <w:p w:rsidR="00B63298" w:rsidRDefault="00B63298" w:rsidP="00D03C03"/>
        </w:tc>
        <w:tc>
          <w:tcPr>
            <w:tcW w:w="1134" w:type="dxa"/>
            <w:shd w:val="clear" w:color="auto" w:fill="D9D9D9" w:themeFill="background1" w:themeFillShade="D9"/>
          </w:tcPr>
          <w:p w:rsidR="00B63298" w:rsidRDefault="00B63298"/>
        </w:tc>
      </w:tr>
      <w:tr w:rsidR="00355C64" w:rsidRPr="00355C64" w:rsidTr="00D03C03">
        <w:tc>
          <w:tcPr>
            <w:tcW w:w="7020" w:type="dxa"/>
          </w:tcPr>
          <w:p w:rsidR="00355C64" w:rsidRDefault="00D03C03" w:rsidP="00D03C03">
            <w:pPr>
              <w:pStyle w:val="ListParagraph"/>
              <w:numPr>
                <w:ilvl w:val="0"/>
                <w:numId w:val="6"/>
              </w:numPr>
              <w:ind w:left="284" w:hanging="284"/>
            </w:pPr>
            <w:r>
              <w:t>Ability to demonstrate the principles and practice of effective teaching and learning including assessment for learning</w:t>
            </w:r>
            <w:r w:rsidR="005000ED">
              <w:t>.</w:t>
            </w:r>
          </w:p>
          <w:p w:rsidR="00D03C03" w:rsidRDefault="00D03C03" w:rsidP="00D03C03">
            <w:pPr>
              <w:pStyle w:val="ListParagraph"/>
              <w:numPr>
                <w:ilvl w:val="0"/>
                <w:numId w:val="6"/>
              </w:numPr>
              <w:ind w:left="284" w:hanging="284"/>
            </w:pPr>
            <w:r>
              <w:t>Good understanding of the use of new and emerging technologies in supporting teaching and learning.</w:t>
            </w:r>
          </w:p>
          <w:p w:rsidR="00D03C03" w:rsidRDefault="00D03C03" w:rsidP="00D03C03">
            <w:pPr>
              <w:pStyle w:val="ListParagraph"/>
              <w:numPr>
                <w:ilvl w:val="0"/>
                <w:numId w:val="6"/>
              </w:numPr>
              <w:ind w:left="284" w:hanging="284"/>
            </w:pPr>
            <w:r>
              <w:t xml:space="preserve">Good understanding </w:t>
            </w:r>
            <w:r w:rsidR="000B2B12">
              <w:t xml:space="preserve">and experience </w:t>
            </w:r>
            <w:r>
              <w:t>of assessment requirements and pupil tracking systems to ensure good progress in academic achievement and other aspects of pupils’ development.</w:t>
            </w:r>
          </w:p>
          <w:p w:rsidR="00D03C03" w:rsidRDefault="00D03C03" w:rsidP="00D03C03">
            <w:pPr>
              <w:pStyle w:val="ListParagraph"/>
              <w:numPr>
                <w:ilvl w:val="0"/>
                <w:numId w:val="6"/>
              </w:numPr>
              <w:ind w:left="284" w:hanging="284"/>
            </w:pPr>
            <w:r>
              <w:t>Up to date knowledge of current curriculum and assessment requirements</w:t>
            </w:r>
            <w:r w:rsidR="005000ED">
              <w:t>.</w:t>
            </w:r>
          </w:p>
          <w:p w:rsidR="00D03C03" w:rsidRDefault="000B2B12" w:rsidP="00D03C03">
            <w:pPr>
              <w:pStyle w:val="ListParagraph"/>
              <w:numPr>
                <w:ilvl w:val="0"/>
                <w:numId w:val="6"/>
              </w:numPr>
              <w:ind w:left="284" w:hanging="284"/>
            </w:pPr>
            <w:r>
              <w:t>Recent e</w:t>
            </w:r>
            <w:r w:rsidR="00B63298">
              <w:t>xperience in curriculum development and management</w:t>
            </w:r>
            <w:r w:rsidR="005000ED">
              <w:t>.</w:t>
            </w:r>
          </w:p>
          <w:p w:rsidR="00B63298" w:rsidRDefault="00B63298" w:rsidP="00D03C03">
            <w:pPr>
              <w:pStyle w:val="ListParagraph"/>
              <w:numPr>
                <w:ilvl w:val="0"/>
                <w:numId w:val="6"/>
              </w:numPr>
              <w:ind w:left="284" w:hanging="284"/>
            </w:pPr>
            <w:r>
              <w:t xml:space="preserve">Ability to monitor and </w:t>
            </w:r>
            <w:r w:rsidR="005000ED">
              <w:t xml:space="preserve">effectively </w:t>
            </w:r>
            <w:r>
              <w:t>evaluate the existing high quality teaching and learning.</w:t>
            </w:r>
          </w:p>
          <w:p w:rsidR="00B63298" w:rsidRDefault="00B63298" w:rsidP="00D03C03">
            <w:pPr>
              <w:pStyle w:val="ListParagraph"/>
              <w:numPr>
                <w:ilvl w:val="0"/>
                <w:numId w:val="6"/>
              </w:numPr>
              <w:ind w:left="284" w:hanging="284"/>
            </w:pPr>
            <w:r>
              <w:t xml:space="preserve">Maintain high standards of behaviour by continuing </w:t>
            </w:r>
            <w:r w:rsidR="005000ED">
              <w:t>the current positive, supportive</w:t>
            </w:r>
            <w:r>
              <w:t xml:space="preserve"> approach to behaviour management.</w:t>
            </w:r>
          </w:p>
          <w:p w:rsidR="00B63298" w:rsidRDefault="00B63298" w:rsidP="00D03C03">
            <w:pPr>
              <w:pStyle w:val="ListParagraph"/>
              <w:numPr>
                <w:ilvl w:val="0"/>
                <w:numId w:val="6"/>
              </w:numPr>
              <w:ind w:left="284" w:hanging="284"/>
            </w:pPr>
            <w:r>
              <w:t>Good understanding of inclusion for all and means of ensuring good progress for pupils with disabilities and additional needs.</w:t>
            </w:r>
          </w:p>
          <w:p w:rsidR="00B63298" w:rsidRPr="00355C64" w:rsidRDefault="00B63298" w:rsidP="00D03C03">
            <w:pPr>
              <w:pStyle w:val="ListParagraph"/>
              <w:numPr>
                <w:ilvl w:val="0"/>
                <w:numId w:val="6"/>
              </w:numPr>
              <w:ind w:left="284" w:hanging="284"/>
            </w:pPr>
            <w:r>
              <w:t>Good understanding of the learning and development needs of minority ethnic pupils and pupils with English as an additional language.</w:t>
            </w:r>
          </w:p>
        </w:tc>
        <w:tc>
          <w:tcPr>
            <w:tcW w:w="1310" w:type="dxa"/>
          </w:tcPr>
          <w:p w:rsidR="00355C64"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D</w:t>
            </w:r>
          </w:p>
          <w:p w:rsidR="00745422" w:rsidRDefault="00745422" w:rsidP="00745422">
            <w:pPr>
              <w:jc w:val="center"/>
            </w:pPr>
          </w:p>
        </w:tc>
        <w:tc>
          <w:tcPr>
            <w:tcW w:w="1134" w:type="dxa"/>
          </w:tcPr>
          <w:p w:rsidR="00355C64" w:rsidRDefault="00ED4FC6" w:rsidP="00745422">
            <w:pPr>
              <w:jc w:val="center"/>
            </w:pPr>
            <w:r>
              <w:t>I  / R</w:t>
            </w:r>
          </w:p>
          <w:p w:rsidR="00ED4FC6" w:rsidRDefault="00ED4FC6" w:rsidP="00745422">
            <w:pPr>
              <w:jc w:val="center"/>
            </w:pPr>
          </w:p>
          <w:p w:rsidR="00ED4FC6" w:rsidRDefault="00ED4FC6" w:rsidP="00745422">
            <w:pPr>
              <w:jc w:val="center"/>
            </w:pPr>
            <w:r>
              <w:t>LA / I</w:t>
            </w:r>
          </w:p>
          <w:p w:rsidR="00ED4FC6" w:rsidRDefault="00ED4FC6" w:rsidP="00745422">
            <w:pPr>
              <w:jc w:val="center"/>
            </w:pPr>
          </w:p>
          <w:p w:rsidR="00ED4FC6" w:rsidRDefault="00ED4FC6" w:rsidP="00745422">
            <w:pPr>
              <w:jc w:val="center"/>
            </w:pPr>
            <w:r>
              <w:t>LA / I</w:t>
            </w:r>
          </w:p>
          <w:p w:rsidR="00ED4FC6" w:rsidRDefault="00ED4FC6" w:rsidP="00745422">
            <w:pPr>
              <w:jc w:val="center"/>
            </w:pPr>
          </w:p>
          <w:p w:rsidR="00ED4FC6" w:rsidRDefault="00ED4FC6" w:rsidP="00745422">
            <w:pPr>
              <w:jc w:val="center"/>
            </w:pPr>
          </w:p>
          <w:p w:rsidR="00ED4FC6" w:rsidRDefault="00ED4FC6" w:rsidP="00745422">
            <w:pPr>
              <w:jc w:val="center"/>
            </w:pPr>
            <w:r>
              <w:t>LA / I</w:t>
            </w:r>
          </w:p>
          <w:p w:rsidR="00ED4FC6" w:rsidRDefault="00ED4FC6" w:rsidP="00745422">
            <w:pPr>
              <w:jc w:val="center"/>
            </w:pPr>
          </w:p>
          <w:p w:rsidR="00ED4FC6" w:rsidRDefault="00ED4FC6" w:rsidP="00745422">
            <w:pPr>
              <w:jc w:val="center"/>
            </w:pPr>
            <w:r>
              <w:t>LA / AF / I</w:t>
            </w:r>
          </w:p>
          <w:p w:rsidR="00ED4FC6" w:rsidRDefault="00ED4FC6" w:rsidP="00745422">
            <w:pPr>
              <w:jc w:val="center"/>
            </w:pPr>
            <w:r>
              <w:t>LA / I</w:t>
            </w:r>
          </w:p>
          <w:p w:rsidR="00ED4FC6" w:rsidRDefault="00ED4FC6" w:rsidP="00745422">
            <w:pPr>
              <w:jc w:val="center"/>
            </w:pPr>
          </w:p>
          <w:p w:rsidR="00ED4FC6" w:rsidRDefault="00ED4FC6" w:rsidP="00745422">
            <w:pPr>
              <w:jc w:val="center"/>
            </w:pPr>
            <w:r>
              <w:t>LA / I / R</w:t>
            </w:r>
          </w:p>
          <w:p w:rsidR="00ED4FC6" w:rsidRDefault="00ED4FC6" w:rsidP="00745422">
            <w:pPr>
              <w:jc w:val="center"/>
            </w:pPr>
          </w:p>
          <w:p w:rsidR="00ED4FC6" w:rsidRDefault="00ED4FC6" w:rsidP="00745422">
            <w:pPr>
              <w:jc w:val="center"/>
            </w:pPr>
            <w:r>
              <w:t>I</w:t>
            </w:r>
          </w:p>
          <w:p w:rsidR="00ED4FC6" w:rsidRDefault="00ED4FC6" w:rsidP="00745422">
            <w:pPr>
              <w:jc w:val="center"/>
            </w:pPr>
          </w:p>
          <w:p w:rsidR="00ED4FC6" w:rsidRDefault="00ED4FC6" w:rsidP="00745422">
            <w:pPr>
              <w:jc w:val="center"/>
            </w:pPr>
            <w:r>
              <w:t>I</w:t>
            </w:r>
          </w:p>
        </w:tc>
      </w:tr>
      <w:tr w:rsidR="00D03C03" w:rsidRPr="00355C64" w:rsidTr="005000ED">
        <w:trPr>
          <w:trHeight w:val="454"/>
        </w:trPr>
        <w:tc>
          <w:tcPr>
            <w:tcW w:w="7020" w:type="dxa"/>
            <w:shd w:val="clear" w:color="auto" w:fill="D9D9D9" w:themeFill="background1" w:themeFillShade="D9"/>
          </w:tcPr>
          <w:p w:rsidR="00D03C03" w:rsidRPr="00D03C03" w:rsidRDefault="00B63298" w:rsidP="00D03C03">
            <w:pPr>
              <w:rPr>
                <w:b/>
              </w:rPr>
            </w:pPr>
            <w:r>
              <w:rPr>
                <w:b/>
              </w:rPr>
              <w:t>Managing the organisation – managing accountability</w:t>
            </w:r>
          </w:p>
        </w:tc>
        <w:tc>
          <w:tcPr>
            <w:tcW w:w="1310" w:type="dxa"/>
            <w:shd w:val="clear" w:color="auto" w:fill="D9D9D9" w:themeFill="background1" w:themeFillShade="D9"/>
          </w:tcPr>
          <w:p w:rsidR="00D03C03" w:rsidRDefault="00D03C03" w:rsidP="00D03C03"/>
        </w:tc>
        <w:tc>
          <w:tcPr>
            <w:tcW w:w="1134" w:type="dxa"/>
            <w:shd w:val="clear" w:color="auto" w:fill="D9D9D9" w:themeFill="background1" w:themeFillShade="D9"/>
          </w:tcPr>
          <w:p w:rsidR="00D03C03" w:rsidRDefault="00D03C03"/>
        </w:tc>
      </w:tr>
      <w:tr w:rsidR="00D03C03" w:rsidRPr="00355C64" w:rsidTr="00D03C03">
        <w:tc>
          <w:tcPr>
            <w:tcW w:w="7020" w:type="dxa"/>
          </w:tcPr>
          <w:p w:rsidR="00D03C03" w:rsidRDefault="00661A0C" w:rsidP="00661A0C">
            <w:pPr>
              <w:pStyle w:val="ListParagraph"/>
              <w:numPr>
                <w:ilvl w:val="0"/>
                <w:numId w:val="6"/>
              </w:numPr>
              <w:ind w:left="284" w:hanging="284"/>
            </w:pPr>
            <w:r>
              <w:t>Ability to interpret and analyse a range of evidence including performance data and use it effectively for school improvement alongside the staff team.</w:t>
            </w:r>
          </w:p>
          <w:p w:rsidR="00661A0C" w:rsidRDefault="00661A0C" w:rsidP="00661A0C">
            <w:pPr>
              <w:pStyle w:val="ListParagraph"/>
              <w:numPr>
                <w:ilvl w:val="0"/>
                <w:numId w:val="6"/>
              </w:numPr>
              <w:ind w:left="284" w:hanging="284"/>
            </w:pPr>
            <w:r>
              <w:t xml:space="preserve">Knowledge of the principles and practices of quality assurance systems including school review, </w:t>
            </w:r>
            <w:proofErr w:type="spellStart"/>
            <w:r>
              <w:t>self evaluation</w:t>
            </w:r>
            <w:proofErr w:type="spellEnd"/>
            <w:r>
              <w:t xml:space="preserve"> and performance management and how these contribute to school improvement.</w:t>
            </w:r>
          </w:p>
          <w:p w:rsidR="00661A0C" w:rsidRDefault="00661A0C" w:rsidP="00661A0C">
            <w:pPr>
              <w:pStyle w:val="ListParagraph"/>
              <w:numPr>
                <w:ilvl w:val="0"/>
                <w:numId w:val="6"/>
              </w:numPr>
              <w:ind w:left="284" w:hanging="284"/>
            </w:pPr>
            <w:r>
              <w:t>Ability to produce and implement clear, evidence based improvement plans and policies for the school.</w:t>
            </w:r>
          </w:p>
          <w:p w:rsidR="00661A0C" w:rsidRDefault="00661A0C" w:rsidP="00661A0C">
            <w:pPr>
              <w:pStyle w:val="ListParagraph"/>
              <w:numPr>
                <w:ilvl w:val="0"/>
                <w:numId w:val="6"/>
              </w:numPr>
              <w:ind w:left="284" w:hanging="284"/>
            </w:pPr>
            <w:r>
              <w:t>Ability to develop leadership and accountability at all levels within the school including performance management systems.</w:t>
            </w:r>
          </w:p>
          <w:p w:rsidR="00661A0C" w:rsidRDefault="00661A0C" w:rsidP="00661A0C">
            <w:pPr>
              <w:pStyle w:val="ListParagraph"/>
              <w:numPr>
                <w:ilvl w:val="0"/>
                <w:numId w:val="6"/>
              </w:numPr>
              <w:ind w:left="284" w:hanging="284"/>
            </w:pPr>
            <w:r>
              <w:t>Ability to manage the financial and human resources effectively and efficiently to achieve the school’s educational goals and priorities.</w:t>
            </w:r>
          </w:p>
          <w:p w:rsidR="00745422" w:rsidRDefault="00661A0C" w:rsidP="00745422">
            <w:pPr>
              <w:pStyle w:val="ListParagraph"/>
              <w:numPr>
                <w:ilvl w:val="0"/>
                <w:numId w:val="6"/>
              </w:numPr>
              <w:ind w:left="284" w:hanging="284"/>
            </w:pPr>
            <w:r>
              <w:t xml:space="preserve">Ability to work effectively with the Governing Body to provide </w:t>
            </w:r>
            <w:r>
              <w:lastRenderedPageBreak/>
              <w:t>information, objective advice and support, to enable it to meet its responsibilities.</w:t>
            </w:r>
          </w:p>
          <w:p w:rsidR="00661A0C" w:rsidRDefault="00661A0C" w:rsidP="00661A0C">
            <w:pPr>
              <w:pStyle w:val="ListParagraph"/>
              <w:numPr>
                <w:ilvl w:val="0"/>
                <w:numId w:val="6"/>
              </w:numPr>
              <w:ind w:left="284" w:hanging="284"/>
            </w:pPr>
            <w:r>
              <w:t>Ability to present a coherent, understandable and accurate account of the school’s performance to a range of audiences.</w:t>
            </w:r>
          </w:p>
          <w:p w:rsidR="00661A0C" w:rsidRDefault="00661A0C" w:rsidP="00661A0C">
            <w:pPr>
              <w:pStyle w:val="ListParagraph"/>
              <w:numPr>
                <w:ilvl w:val="0"/>
                <w:numId w:val="6"/>
              </w:numPr>
              <w:ind w:left="284" w:hanging="284"/>
            </w:pPr>
            <w:r>
              <w:t>Ability to ensure a safe, secure and healthy school environment</w:t>
            </w:r>
            <w:r w:rsidR="00745422">
              <w:t>.</w:t>
            </w:r>
          </w:p>
          <w:p w:rsidR="00745422" w:rsidRDefault="006E19B2" w:rsidP="00661A0C">
            <w:pPr>
              <w:pStyle w:val="ListParagraph"/>
              <w:numPr>
                <w:ilvl w:val="0"/>
                <w:numId w:val="6"/>
              </w:numPr>
              <w:ind w:left="284" w:hanging="284"/>
            </w:pPr>
            <w:r>
              <w:t>Effective communication</w:t>
            </w:r>
            <w:r w:rsidR="00745422">
              <w:t xml:space="preserve"> with a range of audiences including pupils, parents, teaching and </w:t>
            </w:r>
            <w:proofErr w:type="spellStart"/>
            <w:r w:rsidR="00745422">
              <w:t>non teaching</w:t>
            </w:r>
            <w:proofErr w:type="spellEnd"/>
            <w:r w:rsidR="00745422">
              <w:t xml:space="preserve"> staff, contractors and outside agencies.  </w:t>
            </w:r>
          </w:p>
          <w:p w:rsidR="00661A0C" w:rsidRDefault="00661A0C" w:rsidP="00D03C03">
            <w:pPr>
              <w:pStyle w:val="ListParagraph"/>
              <w:numPr>
                <w:ilvl w:val="0"/>
                <w:numId w:val="6"/>
              </w:numPr>
              <w:ind w:left="284" w:hanging="284"/>
            </w:pPr>
            <w:r>
              <w:t>Ability to secure and act on the views of other stakeholders, especially parents and carers.</w:t>
            </w:r>
          </w:p>
          <w:p w:rsidR="000B2B12" w:rsidRDefault="000B2B12" w:rsidP="00D03C03">
            <w:pPr>
              <w:pStyle w:val="ListParagraph"/>
              <w:numPr>
                <w:ilvl w:val="0"/>
                <w:numId w:val="6"/>
              </w:numPr>
              <w:ind w:left="284" w:hanging="284"/>
            </w:pPr>
            <w:r>
              <w:t>Ability to form and maintain appropriate relationships and personal boundaries with children and young people.</w:t>
            </w:r>
          </w:p>
          <w:p w:rsidR="000B2B12" w:rsidRDefault="00745422" w:rsidP="000B2B12">
            <w:pPr>
              <w:pStyle w:val="ListParagraph"/>
              <w:numPr>
                <w:ilvl w:val="0"/>
                <w:numId w:val="6"/>
              </w:numPr>
              <w:ind w:left="284" w:hanging="284"/>
            </w:pPr>
            <w:r>
              <w:t xml:space="preserve">Understanding of legal issues related to managing a school including </w:t>
            </w:r>
            <w:r w:rsidR="000B2B12">
              <w:t xml:space="preserve">the </w:t>
            </w:r>
            <w:r>
              <w:t>Equal</w:t>
            </w:r>
            <w:r w:rsidR="000B2B12">
              <w:t>ity Act 2010</w:t>
            </w:r>
            <w:r>
              <w:t xml:space="preserve"> and Employment legislation.</w:t>
            </w:r>
          </w:p>
        </w:tc>
        <w:tc>
          <w:tcPr>
            <w:tcW w:w="1310" w:type="dxa"/>
          </w:tcPr>
          <w:p w:rsidR="00D03C03" w:rsidRDefault="00745422" w:rsidP="00745422">
            <w:pPr>
              <w:jc w:val="center"/>
            </w:pPr>
            <w:r>
              <w:lastRenderedPageBreak/>
              <w:t>E</w:t>
            </w:r>
          </w:p>
          <w:p w:rsidR="00745422" w:rsidRDefault="00745422" w:rsidP="00745422">
            <w:pPr>
              <w:jc w:val="center"/>
            </w:pP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0B2B12"/>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r>
              <w:t>E</w:t>
            </w:r>
          </w:p>
          <w:p w:rsidR="00745422" w:rsidRDefault="00745422" w:rsidP="00745422">
            <w:pPr>
              <w:jc w:val="center"/>
            </w:pPr>
          </w:p>
          <w:p w:rsidR="006E19B2" w:rsidRDefault="006E19B2" w:rsidP="00745422">
            <w:pPr>
              <w:jc w:val="center"/>
            </w:pPr>
          </w:p>
          <w:p w:rsidR="006E19B2" w:rsidRDefault="006E19B2" w:rsidP="00745422">
            <w:pPr>
              <w:jc w:val="center"/>
            </w:pPr>
            <w:r>
              <w:t>E</w:t>
            </w:r>
          </w:p>
          <w:p w:rsidR="000B2B12" w:rsidRDefault="000B2B12" w:rsidP="00745422">
            <w:pPr>
              <w:jc w:val="center"/>
            </w:pPr>
          </w:p>
          <w:p w:rsidR="006E19B2" w:rsidRDefault="000B2B12" w:rsidP="00745422">
            <w:pPr>
              <w:jc w:val="center"/>
            </w:pPr>
            <w:r>
              <w:t>E</w:t>
            </w:r>
          </w:p>
          <w:p w:rsidR="000B2B12" w:rsidRDefault="000B2B12" w:rsidP="00745422">
            <w:pPr>
              <w:jc w:val="center"/>
            </w:pPr>
          </w:p>
          <w:p w:rsidR="00745422" w:rsidRDefault="00745422" w:rsidP="00745422">
            <w:pPr>
              <w:jc w:val="center"/>
            </w:pPr>
            <w:r>
              <w:t>D</w:t>
            </w:r>
          </w:p>
        </w:tc>
        <w:tc>
          <w:tcPr>
            <w:tcW w:w="1134" w:type="dxa"/>
          </w:tcPr>
          <w:p w:rsidR="00D03C03" w:rsidRDefault="00874F41" w:rsidP="00745422">
            <w:pPr>
              <w:jc w:val="center"/>
            </w:pPr>
            <w:r>
              <w:lastRenderedPageBreak/>
              <w:t>LA / I</w:t>
            </w:r>
          </w:p>
          <w:p w:rsidR="00874F41" w:rsidRDefault="00874F41" w:rsidP="00745422">
            <w:pPr>
              <w:jc w:val="center"/>
            </w:pPr>
          </w:p>
          <w:p w:rsidR="00874F41" w:rsidRDefault="00874F41" w:rsidP="00745422">
            <w:pPr>
              <w:jc w:val="center"/>
            </w:pPr>
          </w:p>
          <w:p w:rsidR="00874F41" w:rsidRDefault="00874F41" w:rsidP="00745422">
            <w:pPr>
              <w:jc w:val="center"/>
            </w:pPr>
            <w:r>
              <w:t>LA / I</w:t>
            </w:r>
          </w:p>
          <w:p w:rsidR="00874F41" w:rsidRDefault="00874F41" w:rsidP="00745422">
            <w:pPr>
              <w:jc w:val="center"/>
            </w:pPr>
          </w:p>
          <w:p w:rsidR="00874F41" w:rsidRDefault="00874F41" w:rsidP="00745422">
            <w:pPr>
              <w:jc w:val="center"/>
            </w:pPr>
          </w:p>
          <w:p w:rsidR="00874F41" w:rsidRDefault="00874F41" w:rsidP="00745422">
            <w:pPr>
              <w:jc w:val="center"/>
            </w:pPr>
            <w:r>
              <w:t>I</w:t>
            </w:r>
          </w:p>
          <w:p w:rsidR="00874F41" w:rsidRDefault="00874F41" w:rsidP="00745422">
            <w:pPr>
              <w:jc w:val="center"/>
            </w:pPr>
          </w:p>
          <w:p w:rsidR="00874F41" w:rsidRDefault="00874F41" w:rsidP="00745422">
            <w:pPr>
              <w:jc w:val="center"/>
            </w:pPr>
            <w:r>
              <w:t>I</w:t>
            </w:r>
          </w:p>
          <w:p w:rsidR="00874F41" w:rsidRDefault="00874F41" w:rsidP="00745422">
            <w:pPr>
              <w:jc w:val="center"/>
            </w:pPr>
          </w:p>
          <w:p w:rsidR="00874F41" w:rsidRDefault="00874F41" w:rsidP="00745422">
            <w:pPr>
              <w:jc w:val="center"/>
            </w:pPr>
            <w:r>
              <w:t>I</w:t>
            </w:r>
          </w:p>
          <w:p w:rsidR="00874F41" w:rsidRDefault="00874F41" w:rsidP="00745422">
            <w:pPr>
              <w:jc w:val="center"/>
            </w:pPr>
          </w:p>
          <w:p w:rsidR="00874F41" w:rsidRDefault="00874F41" w:rsidP="00745422">
            <w:pPr>
              <w:jc w:val="center"/>
            </w:pPr>
            <w:r>
              <w:t>I</w:t>
            </w:r>
          </w:p>
          <w:p w:rsidR="00874F41" w:rsidRDefault="00874F41" w:rsidP="00745422">
            <w:pPr>
              <w:jc w:val="center"/>
            </w:pPr>
          </w:p>
          <w:p w:rsidR="00874F41" w:rsidRDefault="00874F41" w:rsidP="000B2B12"/>
          <w:p w:rsidR="00874F41" w:rsidRDefault="00874F41" w:rsidP="00745422">
            <w:pPr>
              <w:jc w:val="center"/>
            </w:pPr>
            <w:r>
              <w:t>LA / I</w:t>
            </w:r>
          </w:p>
          <w:p w:rsidR="00745422" w:rsidRDefault="00745422" w:rsidP="00745422">
            <w:pPr>
              <w:jc w:val="center"/>
            </w:pPr>
          </w:p>
          <w:p w:rsidR="00874F41" w:rsidRDefault="00874F41" w:rsidP="00745422">
            <w:pPr>
              <w:jc w:val="center"/>
            </w:pPr>
            <w:r>
              <w:t>I</w:t>
            </w:r>
          </w:p>
          <w:p w:rsidR="00874F41" w:rsidRDefault="00874F41" w:rsidP="00745422">
            <w:pPr>
              <w:jc w:val="center"/>
            </w:pPr>
            <w:r>
              <w:t>I</w:t>
            </w:r>
            <w:r w:rsidR="006E19B2">
              <w:t xml:space="preserve"> / R</w:t>
            </w:r>
          </w:p>
          <w:p w:rsidR="00874F41" w:rsidRDefault="00874F41" w:rsidP="00745422">
            <w:pPr>
              <w:jc w:val="center"/>
            </w:pPr>
          </w:p>
          <w:p w:rsidR="006E19B2" w:rsidRDefault="006E19B2" w:rsidP="00745422">
            <w:pPr>
              <w:jc w:val="center"/>
            </w:pPr>
          </w:p>
          <w:p w:rsidR="00745422" w:rsidRDefault="00745422" w:rsidP="00745422">
            <w:pPr>
              <w:jc w:val="center"/>
            </w:pPr>
            <w:r>
              <w:t>I</w:t>
            </w:r>
          </w:p>
          <w:p w:rsidR="000B2B12" w:rsidRDefault="000B2B12" w:rsidP="00745422">
            <w:pPr>
              <w:jc w:val="center"/>
            </w:pPr>
          </w:p>
          <w:p w:rsidR="006E19B2" w:rsidRDefault="000B2B12" w:rsidP="00745422">
            <w:pPr>
              <w:jc w:val="center"/>
            </w:pPr>
            <w:r>
              <w:t>I / R</w:t>
            </w:r>
          </w:p>
          <w:p w:rsidR="000B2B12" w:rsidRDefault="000B2B12" w:rsidP="00745422">
            <w:pPr>
              <w:jc w:val="center"/>
            </w:pPr>
          </w:p>
          <w:p w:rsidR="006E19B2" w:rsidRDefault="006E19B2" w:rsidP="00745422">
            <w:pPr>
              <w:jc w:val="center"/>
            </w:pPr>
            <w:r>
              <w:t>I</w:t>
            </w:r>
          </w:p>
        </w:tc>
      </w:tr>
      <w:tr w:rsidR="00C17666" w:rsidRPr="00C17666" w:rsidTr="005000ED">
        <w:trPr>
          <w:trHeight w:val="454"/>
        </w:trPr>
        <w:tc>
          <w:tcPr>
            <w:tcW w:w="7020" w:type="dxa"/>
            <w:shd w:val="clear" w:color="auto" w:fill="D9D9D9" w:themeFill="background1" w:themeFillShade="D9"/>
          </w:tcPr>
          <w:p w:rsidR="00C17666" w:rsidRPr="00C17666" w:rsidRDefault="00C17666" w:rsidP="00C17666">
            <w:pPr>
              <w:rPr>
                <w:b/>
              </w:rPr>
            </w:pPr>
            <w:r w:rsidRPr="00C17666">
              <w:rPr>
                <w:b/>
              </w:rPr>
              <w:lastRenderedPageBreak/>
              <w:t>Shaping the future</w:t>
            </w:r>
          </w:p>
        </w:tc>
        <w:tc>
          <w:tcPr>
            <w:tcW w:w="1310" w:type="dxa"/>
            <w:shd w:val="clear" w:color="auto" w:fill="D9D9D9" w:themeFill="background1" w:themeFillShade="D9"/>
          </w:tcPr>
          <w:p w:rsidR="00C17666" w:rsidRPr="00C17666" w:rsidRDefault="00C17666" w:rsidP="00D03C03">
            <w:pPr>
              <w:rPr>
                <w:b/>
              </w:rPr>
            </w:pPr>
          </w:p>
        </w:tc>
        <w:tc>
          <w:tcPr>
            <w:tcW w:w="1134" w:type="dxa"/>
            <w:shd w:val="clear" w:color="auto" w:fill="D9D9D9" w:themeFill="background1" w:themeFillShade="D9"/>
          </w:tcPr>
          <w:p w:rsidR="00C17666" w:rsidRPr="00C17666" w:rsidRDefault="00C17666">
            <w:pPr>
              <w:rPr>
                <w:b/>
              </w:rPr>
            </w:pPr>
          </w:p>
        </w:tc>
      </w:tr>
      <w:tr w:rsidR="00C17666" w:rsidRPr="00355C64" w:rsidTr="00D03C03">
        <w:tc>
          <w:tcPr>
            <w:tcW w:w="7020" w:type="dxa"/>
          </w:tcPr>
          <w:p w:rsidR="00C17666" w:rsidRDefault="00C17666" w:rsidP="00661A0C">
            <w:pPr>
              <w:pStyle w:val="ListParagraph"/>
              <w:numPr>
                <w:ilvl w:val="0"/>
                <w:numId w:val="6"/>
              </w:numPr>
              <w:ind w:left="284" w:hanging="284"/>
            </w:pPr>
            <w:r>
              <w:t xml:space="preserve"> Clearly articulate a vision for the future of the school which can be shared, understood and acted upon.</w:t>
            </w:r>
          </w:p>
          <w:p w:rsidR="00C17666" w:rsidRDefault="0096378A" w:rsidP="00661A0C">
            <w:pPr>
              <w:pStyle w:val="ListParagraph"/>
              <w:numPr>
                <w:ilvl w:val="0"/>
                <w:numId w:val="6"/>
              </w:numPr>
              <w:ind w:left="284" w:hanging="284"/>
            </w:pPr>
            <w:r>
              <w:t xml:space="preserve"> Experience of leading, implementing and managing change, taking time to reflect before implementing initiatives that will work for Meadow Farm.</w:t>
            </w:r>
          </w:p>
          <w:p w:rsidR="0096378A" w:rsidRDefault="0096378A" w:rsidP="00661A0C">
            <w:pPr>
              <w:pStyle w:val="ListParagraph"/>
              <w:numPr>
                <w:ilvl w:val="0"/>
                <w:numId w:val="6"/>
              </w:numPr>
              <w:ind w:left="284" w:hanging="284"/>
            </w:pPr>
            <w:r>
              <w:t xml:space="preserve"> Inspire, challe</w:t>
            </w:r>
            <w:r w:rsidR="005000ED">
              <w:t xml:space="preserve">nge, motivate and empower others </w:t>
            </w:r>
            <w:r>
              <w:t>including staff, pupils and parents.</w:t>
            </w:r>
          </w:p>
          <w:p w:rsidR="0096378A" w:rsidRDefault="0096378A" w:rsidP="00661A0C">
            <w:pPr>
              <w:pStyle w:val="ListParagraph"/>
              <w:numPr>
                <w:ilvl w:val="0"/>
                <w:numId w:val="6"/>
              </w:numPr>
              <w:ind w:left="284" w:hanging="284"/>
            </w:pPr>
            <w:r>
              <w:t xml:space="preserve"> Commit to inclusion, excellence and equity for all pupils.</w:t>
            </w:r>
          </w:p>
          <w:p w:rsidR="00745422" w:rsidRDefault="0096378A" w:rsidP="00745422">
            <w:pPr>
              <w:pStyle w:val="ListParagraph"/>
              <w:numPr>
                <w:ilvl w:val="0"/>
                <w:numId w:val="6"/>
              </w:numPr>
              <w:ind w:left="284" w:hanging="284"/>
            </w:pPr>
            <w:r>
              <w:t xml:space="preserve"> Ensure creativity, innovation and the use of new tec</w:t>
            </w:r>
            <w:r w:rsidR="00745422">
              <w:t>hnologies to achieve excellence.</w:t>
            </w:r>
          </w:p>
        </w:tc>
        <w:tc>
          <w:tcPr>
            <w:tcW w:w="1310" w:type="dxa"/>
          </w:tcPr>
          <w:p w:rsidR="00C17666" w:rsidRDefault="006E19B2" w:rsidP="006E19B2">
            <w:pPr>
              <w:jc w:val="center"/>
            </w:pPr>
            <w:r>
              <w:t>E</w:t>
            </w:r>
          </w:p>
          <w:p w:rsidR="006E19B2" w:rsidRDefault="006E19B2" w:rsidP="006E19B2">
            <w:pPr>
              <w:jc w:val="center"/>
            </w:pPr>
          </w:p>
          <w:p w:rsidR="006E19B2" w:rsidRDefault="006E19B2" w:rsidP="006E19B2">
            <w:pPr>
              <w:jc w:val="center"/>
            </w:pPr>
            <w:r>
              <w:t>E</w:t>
            </w:r>
          </w:p>
          <w:p w:rsidR="006E19B2" w:rsidRDefault="006E19B2" w:rsidP="006E19B2">
            <w:pPr>
              <w:jc w:val="center"/>
            </w:pPr>
          </w:p>
          <w:p w:rsidR="006E19B2" w:rsidRDefault="006E19B2" w:rsidP="006E19B2">
            <w:pPr>
              <w:jc w:val="center"/>
            </w:pPr>
          </w:p>
          <w:p w:rsidR="006E19B2" w:rsidRDefault="006E19B2" w:rsidP="006E19B2">
            <w:pPr>
              <w:jc w:val="center"/>
            </w:pPr>
            <w:r>
              <w:t>E</w:t>
            </w:r>
          </w:p>
          <w:p w:rsidR="006E19B2" w:rsidRDefault="006E19B2" w:rsidP="006E19B2">
            <w:pPr>
              <w:jc w:val="center"/>
            </w:pPr>
          </w:p>
          <w:p w:rsidR="006E19B2" w:rsidRDefault="006E19B2" w:rsidP="006E19B2">
            <w:pPr>
              <w:jc w:val="center"/>
            </w:pPr>
            <w:r>
              <w:t>E</w:t>
            </w:r>
          </w:p>
          <w:p w:rsidR="006E19B2" w:rsidRDefault="006E19B2" w:rsidP="006E19B2">
            <w:pPr>
              <w:jc w:val="center"/>
            </w:pPr>
            <w:r>
              <w:t>E</w:t>
            </w:r>
          </w:p>
        </w:tc>
        <w:tc>
          <w:tcPr>
            <w:tcW w:w="1134" w:type="dxa"/>
          </w:tcPr>
          <w:p w:rsidR="00C17666" w:rsidRDefault="00874F41" w:rsidP="006E19B2">
            <w:pPr>
              <w:jc w:val="center"/>
            </w:pPr>
            <w:r>
              <w:t>LA / I</w:t>
            </w:r>
          </w:p>
          <w:p w:rsidR="00874F41" w:rsidRDefault="00874F41" w:rsidP="006E19B2">
            <w:pPr>
              <w:jc w:val="center"/>
            </w:pPr>
          </w:p>
          <w:p w:rsidR="00874F41" w:rsidRDefault="00874F41" w:rsidP="006E19B2">
            <w:pPr>
              <w:jc w:val="center"/>
            </w:pPr>
            <w:r>
              <w:t>AF / LA / I</w:t>
            </w:r>
          </w:p>
          <w:p w:rsidR="00874F41" w:rsidRDefault="00874F41" w:rsidP="006E19B2">
            <w:pPr>
              <w:jc w:val="center"/>
            </w:pPr>
          </w:p>
          <w:p w:rsidR="00874F41" w:rsidRDefault="00874F41" w:rsidP="006E19B2">
            <w:pPr>
              <w:jc w:val="center"/>
            </w:pPr>
          </w:p>
          <w:p w:rsidR="00874F41" w:rsidRDefault="00874F41" w:rsidP="006E19B2">
            <w:pPr>
              <w:jc w:val="center"/>
            </w:pPr>
            <w:r>
              <w:t>I</w:t>
            </w:r>
          </w:p>
          <w:p w:rsidR="00874F41" w:rsidRDefault="00874F41" w:rsidP="006E19B2">
            <w:pPr>
              <w:jc w:val="center"/>
            </w:pPr>
          </w:p>
          <w:p w:rsidR="00874F41" w:rsidRDefault="00874F41" w:rsidP="006E19B2">
            <w:pPr>
              <w:jc w:val="center"/>
            </w:pPr>
            <w:r>
              <w:t>LA / I</w:t>
            </w:r>
          </w:p>
          <w:p w:rsidR="00874F41" w:rsidRDefault="00874F41" w:rsidP="006E19B2">
            <w:pPr>
              <w:jc w:val="center"/>
            </w:pPr>
            <w:r>
              <w:t>LA / I  / R</w:t>
            </w:r>
          </w:p>
          <w:p w:rsidR="00874F41" w:rsidRDefault="00874F41"/>
        </w:tc>
      </w:tr>
      <w:tr w:rsidR="0096378A" w:rsidRPr="0096378A" w:rsidTr="005000ED">
        <w:trPr>
          <w:trHeight w:val="454"/>
        </w:trPr>
        <w:tc>
          <w:tcPr>
            <w:tcW w:w="7020" w:type="dxa"/>
            <w:shd w:val="clear" w:color="auto" w:fill="D9D9D9" w:themeFill="background1" w:themeFillShade="D9"/>
          </w:tcPr>
          <w:p w:rsidR="0096378A" w:rsidRPr="0096378A" w:rsidRDefault="0096378A" w:rsidP="0096378A">
            <w:pPr>
              <w:rPr>
                <w:b/>
              </w:rPr>
            </w:pPr>
            <w:r w:rsidRPr="0096378A">
              <w:rPr>
                <w:b/>
              </w:rPr>
              <w:t>Strengthening community</w:t>
            </w:r>
          </w:p>
        </w:tc>
        <w:tc>
          <w:tcPr>
            <w:tcW w:w="1310" w:type="dxa"/>
            <w:shd w:val="clear" w:color="auto" w:fill="D9D9D9" w:themeFill="background1" w:themeFillShade="D9"/>
          </w:tcPr>
          <w:p w:rsidR="0096378A" w:rsidRPr="0096378A" w:rsidRDefault="0096378A" w:rsidP="00D03C03">
            <w:pPr>
              <w:rPr>
                <w:b/>
              </w:rPr>
            </w:pPr>
          </w:p>
        </w:tc>
        <w:tc>
          <w:tcPr>
            <w:tcW w:w="1134" w:type="dxa"/>
            <w:shd w:val="clear" w:color="auto" w:fill="D9D9D9" w:themeFill="background1" w:themeFillShade="D9"/>
          </w:tcPr>
          <w:p w:rsidR="0096378A" w:rsidRPr="0096378A" w:rsidRDefault="0096378A">
            <w:pPr>
              <w:rPr>
                <w:b/>
              </w:rPr>
            </w:pPr>
          </w:p>
        </w:tc>
      </w:tr>
      <w:tr w:rsidR="0096378A" w:rsidRPr="00355C64" w:rsidTr="00D03C03">
        <w:tc>
          <w:tcPr>
            <w:tcW w:w="7020" w:type="dxa"/>
          </w:tcPr>
          <w:p w:rsidR="00B5466B" w:rsidRDefault="00B5466B" w:rsidP="00745422">
            <w:pPr>
              <w:pStyle w:val="ListParagraph"/>
              <w:numPr>
                <w:ilvl w:val="0"/>
                <w:numId w:val="6"/>
              </w:numPr>
              <w:ind w:left="284" w:hanging="284"/>
            </w:pPr>
            <w:r>
              <w:t xml:space="preserve"> Commitment to working in partnership with parents, carers and other agencies.</w:t>
            </w:r>
          </w:p>
          <w:p w:rsidR="00B5466B" w:rsidRDefault="00B5466B" w:rsidP="00B5466B">
            <w:pPr>
              <w:pStyle w:val="ListParagraph"/>
              <w:numPr>
                <w:ilvl w:val="0"/>
                <w:numId w:val="6"/>
              </w:numPr>
              <w:ind w:left="284" w:hanging="284"/>
            </w:pPr>
            <w:r>
              <w:t xml:space="preserve"> Commitment to collaboration with other agencies to support all children and meet local and national requirements.</w:t>
            </w:r>
          </w:p>
          <w:p w:rsidR="00B5466B" w:rsidRDefault="00B5466B" w:rsidP="00B5466B">
            <w:pPr>
              <w:pStyle w:val="ListParagraph"/>
              <w:numPr>
                <w:ilvl w:val="0"/>
                <w:numId w:val="6"/>
              </w:numPr>
              <w:ind w:left="284" w:hanging="284"/>
            </w:pPr>
            <w:r>
              <w:t xml:space="preserve"> Commitment to promotion of positive strategies for challenging prejudice and dealing with harassment.</w:t>
            </w:r>
          </w:p>
          <w:p w:rsidR="00745422" w:rsidRDefault="00745422" w:rsidP="00B5466B">
            <w:pPr>
              <w:pStyle w:val="ListParagraph"/>
              <w:numPr>
                <w:ilvl w:val="0"/>
                <w:numId w:val="6"/>
              </w:numPr>
              <w:ind w:left="284" w:hanging="284"/>
            </w:pPr>
            <w:r>
              <w:t>Commitment to collaboration and networking with other schools to improve outcomes.</w:t>
            </w:r>
          </w:p>
        </w:tc>
        <w:tc>
          <w:tcPr>
            <w:tcW w:w="1310" w:type="dxa"/>
          </w:tcPr>
          <w:p w:rsidR="0096378A"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D</w:t>
            </w:r>
          </w:p>
        </w:tc>
        <w:tc>
          <w:tcPr>
            <w:tcW w:w="1134" w:type="dxa"/>
          </w:tcPr>
          <w:p w:rsidR="00452574" w:rsidRDefault="00452574" w:rsidP="00745422">
            <w:pPr>
              <w:jc w:val="center"/>
            </w:pPr>
            <w:r>
              <w:t>I</w:t>
            </w:r>
          </w:p>
          <w:p w:rsidR="00452574" w:rsidRDefault="00452574" w:rsidP="00745422">
            <w:pPr>
              <w:jc w:val="center"/>
            </w:pPr>
          </w:p>
          <w:p w:rsidR="00452574" w:rsidRDefault="00452574" w:rsidP="00745422">
            <w:pPr>
              <w:jc w:val="center"/>
            </w:pPr>
            <w:r>
              <w:t>LA / I</w:t>
            </w:r>
          </w:p>
          <w:p w:rsidR="00452574" w:rsidRDefault="00452574" w:rsidP="00745422">
            <w:pPr>
              <w:jc w:val="center"/>
            </w:pPr>
          </w:p>
          <w:p w:rsidR="00452574" w:rsidRDefault="00452574" w:rsidP="00745422">
            <w:pPr>
              <w:jc w:val="center"/>
            </w:pPr>
            <w:r>
              <w:t>I</w:t>
            </w:r>
          </w:p>
          <w:p w:rsidR="00745422" w:rsidRDefault="00745422" w:rsidP="00745422">
            <w:pPr>
              <w:jc w:val="center"/>
            </w:pPr>
          </w:p>
          <w:p w:rsidR="00745422" w:rsidRDefault="00745422" w:rsidP="00745422">
            <w:pPr>
              <w:jc w:val="center"/>
            </w:pPr>
            <w:r>
              <w:t>I</w:t>
            </w:r>
          </w:p>
        </w:tc>
      </w:tr>
      <w:tr w:rsidR="00C17666" w:rsidRPr="00B5466B" w:rsidTr="005000ED">
        <w:trPr>
          <w:trHeight w:val="454"/>
        </w:trPr>
        <w:tc>
          <w:tcPr>
            <w:tcW w:w="7020" w:type="dxa"/>
            <w:shd w:val="clear" w:color="auto" w:fill="D9D9D9" w:themeFill="background1" w:themeFillShade="D9"/>
          </w:tcPr>
          <w:p w:rsidR="00C17666" w:rsidRPr="00B5466B" w:rsidRDefault="00B5466B" w:rsidP="00B5466B">
            <w:pPr>
              <w:rPr>
                <w:b/>
              </w:rPr>
            </w:pPr>
            <w:r w:rsidRPr="00B5466B">
              <w:rPr>
                <w:b/>
              </w:rPr>
              <w:t>Personal qualities</w:t>
            </w:r>
          </w:p>
        </w:tc>
        <w:tc>
          <w:tcPr>
            <w:tcW w:w="1310" w:type="dxa"/>
            <w:shd w:val="clear" w:color="auto" w:fill="D9D9D9" w:themeFill="background1" w:themeFillShade="D9"/>
          </w:tcPr>
          <w:p w:rsidR="00C17666" w:rsidRPr="00B5466B" w:rsidRDefault="00C17666" w:rsidP="00D03C03">
            <w:pPr>
              <w:rPr>
                <w:b/>
              </w:rPr>
            </w:pPr>
          </w:p>
        </w:tc>
        <w:tc>
          <w:tcPr>
            <w:tcW w:w="1134" w:type="dxa"/>
            <w:shd w:val="clear" w:color="auto" w:fill="D9D9D9" w:themeFill="background1" w:themeFillShade="D9"/>
          </w:tcPr>
          <w:p w:rsidR="00C17666" w:rsidRPr="00B5466B" w:rsidRDefault="00C17666">
            <w:pPr>
              <w:rPr>
                <w:b/>
              </w:rPr>
            </w:pPr>
          </w:p>
        </w:tc>
      </w:tr>
      <w:tr w:rsidR="00B5466B" w:rsidRPr="00355C64" w:rsidTr="00D03C03">
        <w:tc>
          <w:tcPr>
            <w:tcW w:w="7020" w:type="dxa"/>
          </w:tcPr>
          <w:p w:rsidR="00B5466B" w:rsidRDefault="00B5466B" w:rsidP="00661A0C">
            <w:pPr>
              <w:pStyle w:val="ListParagraph"/>
              <w:numPr>
                <w:ilvl w:val="0"/>
                <w:numId w:val="6"/>
              </w:numPr>
              <w:ind w:left="284" w:hanging="284"/>
            </w:pPr>
            <w:r>
              <w:t>Approachable – a people person who is able to offer pastoral guidance and support across the staff and school community.</w:t>
            </w:r>
          </w:p>
          <w:p w:rsidR="00B5466B" w:rsidRDefault="00B5466B" w:rsidP="00661A0C">
            <w:pPr>
              <w:pStyle w:val="ListParagraph"/>
              <w:numPr>
                <w:ilvl w:val="0"/>
                <w:numId w:val="6"/>
              </w:numPr>
              <w:ind w:left="284" w:hanging="284"/>
            </w:pPr>
            <w:r>
              <w:t>Motivational – able to encourage others to get the best out of the</w:t>
            </w:r>
            <w:r w:rsidR="00FF7125">
              <w:t>mselves, whilst also helping to identify</w:t>
            </w:r>
            <w:r>
              <w:t xml:space="preserve"> areas for their personal development and growth, recognising the potential in all.</w:t>
            </w:r>
          </w:p>
          <w:p w:rsidR="00B5466B" w:rsidRDefault="00B5466B" w:rsidP="00661A0C">
            <w:pPr>
              <w:pStyle w:val="ListParagraph"/>
              <w:numPr>
                <w:ilvl w:val="0"/>
                <w:numId w:val="6"/>
              </w:numPr>
              <w:ind w:left="284" w:hanging="284"/>
            </w:pPr>
            <w:r>
              <w:t>Aspirational – inspiring others with creative thinking and striving to build on the school’s outstanding features.</w:t>
            </w:r>
          </w:p>
          <w:p w:rsidR="00B5466B" w:rsidRDefault="00B5466B" w:rsidP="000B2B12">
            <w:pPr>
              <w:pStyle w:val="ListParagraph"/>
              <w:numPr>
                <w:ilvl w:val="0"/>
                <w:numId w:val="6"/>
              </w:numPr>
              <w:ind w:left="284" w:hanging="284"/>
            </w:pPr>
            <w:r>
              <w:t xml:space="preserve">Enthusiastic – </w:t>
            </w:r>
            <w:r w:rsidR="00FF7125">
              <w:t>with a</w:t>
            </w:r>
            <w:r>
              <w:t xml:space="preserve"> fun-loving, open, friendly personality.</w:t>
            </w:r>
          </w:p>
        </w:tc>
        <w:tc>
          <w:tcPr>
            <w:tcW w:w="1310" w:type="dxa"/>
          </w:tcPr>
          <w:p w:rsidR="00B5466B" w:rsidRDefault="00745422" w:rsidP="00745422">
            <w:pPr>
              <w:jc w:val="center"/>
            </w:pPr>
            <w:r>
              <w:t>E</w:t>
            </w: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p>
          <w:p w:rsidR="00745422" w:rsidRDefault="00745422" w:rsidP="00745422">
            <w:pPr>
              <w:jc w:val="center"/>
            </w:pPr>
            <w:r>
              <w:t>E</w:t>
            </w:r>
          </w:p>
          <w:p w:rsidR="00745422" w:rsidRDefault="00745422" w:rsidP="00745422">
            <w:pPr>
              <w:jc w:val="center"/>
            </w:pPr>
          </w:p>
          <w:p w:rsidR="00745422" w:rsidRDefault="00745422" w:rsidP="00745422">
            <w:pPr>
              <w:jc w:val="center"/>
            </w:pPr>
            <w:r>
              <w:t>E</w:t>
            </w:r>
          </w:p>
        </w:tc>
        <w:tc>
          <w:tcPr>
            <w:tcW w:w="1134" w:type="dxa"/>
          </w:tcPr>
          <w:p w:rsidR="00B5466B" w:rsidRDefault="00452574" w:rsidP="00745422">
            <w:pPr>
              <w:jc w:val="center"/>
            </w:pPr>
            <w:r>
              <w:t>I / R</w:t>
            </w:r>
          </w:p>
          <w:p w:rsidR="00452574" w:rsidRDefault="00452574" w:rsidP="00745422">
            <w:pPr>
              <w:jc w:val="center"/>
            </w:pPr>
          </w:p>
          <w:p w:rsidR="00452574" w:rsidRDefault="00452574" w:rsidP="00745422">
            <w:pPr>
              <w:jc w:val="center"/>
            </w:pPr>
            <w:r>
              <w:t>I / R</w:t>
            </w:r>
          </w:p>
          <w:p w:rsidR="00452574" w:rsidRDefault="00452574" w:rsidP="00745422">
            <w:pPr>
              <w:jc w:val="center"/>
            </w:pPr>
          </w:p>
          <w:p w:rsidR="00452574" w:rsidRDefault="00452574" w:rsidP="00745422">
            <w:pPr>
              <w:jc w:val="center"/>
            </w:pPr>
          </w:p>
          <w:p w:rsidR="00452574" w:rsidRDefault="00452574" w:rsidP="00745422">
            <w:pPr>
              <w:jc w:val="center"/>
            </w:pPr>
            <w:r>
              <w:t>I / R</w:t>
            </w:r>
          </w:p>
          <w:p w:rsidR="00452574" w:rsidRDefault="00452574" w:rsidP="00745422">
            <w:pPr>
              <w:jc w:val="center"/>
            </w:pPr>
          </w:p>
          <w:p w:rsidR="00452574" w:rsidRDefault="00452574" w:rsidP="00745422">
            <w:pPr>
              <w:jc w:val="center"/>
            </w:pPr>
            <w:r>
              <w:t>I / R</w:t>
            </w:r>
          </w:p>
        </w:tc>
      </w:tr>
    </w:tbl>
    <w:p w:rsidR="00E404F3" w:rsidRDefault="00E404F3" w:rsidP="006E19B2"/>
    <w:p w:rsidR="00B50202" w:rsidRDefault="000B2B12">
      <w:r>
        <w:t>Meadow Farm is committed to safeguarding and promoting the welfare of children and expects everyone involved with the school to share this commitment.  The successful applicant will be required to obtain an Enhanced DBS check.</w:t>
      </w:r>
    </w:p>
    <w:sectPr w:rsidR="00B50202" w:rsidSect="00B50202">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B6" w:rsidRDefault="00DA5CB6" w:rsidP="00E404F3">
      <w:pPr>
        <w:spacing w:after="0" w:line="240" w:lineRule="auto"/>
      </w:pPr>
      <w:r>
        <w:separator/>
      </w:r>
    </w:p>
  </w:endnote>
  <w:endnote w:type="continuationSeparator" w:id="0">
    <w:p w:rsidR="00DA5CB6" w:rsidRDefault="00DA5CB6" w:rsidP="00E4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88961"/>
      <w:docPartObj>
        <w:docPartGallery w:val="Page Numbers (Bottom of Page)"/>
        <w:docPartUnique/>
      </w:docPartObj>
    </w:sdtPr>
    <w:sdtEndPr>
      <w:rPr>
        <w:i/>
        <w:noProof/>
        <w:sz w:val="20"/>
      </w:rPr>
    </w:sdtEndPr>
    <w:sdtContent>
      <w:p w:rsidR="00874F41" w:rsidRDefault="00874F41">
        <w:pPr>
          <w:pStyle w:val="Footer"/>
          <w:jc w:val="center"/>
        </w:pPr>
        <w:r>
          <w:t>LA = Letter of Application          AF = Application Form         I = Interview/tests         R = References</w:t>
        </w:r>
      </w:p>
      <w:p w:rsidR="006E19B2" w:rsidRDefault="00FF7125">
        <w:pPr>
          <w:pStyle w:val="Footer"/>
          <w:jc w:val="center"/>
          <w:rPr>
            <w:noProof/>
          </w:rPr>
        </w:pPr>
        <w:r>
          <w:fldChar w:fldCharType="begin"/>
        </w:r>
        <w:r>
          <w:instrText xml:space="preserve"> PAGE   \* MERGEFORMAT </w:instrText>
        </w:r>
        <w:r>
          <w:fldChar w:fldCharType="separate"/>
        </w:r>
        <w:r w:rsidR="00C701D9">
          <w:rPr>
            <w:noProof/>
          </w:rPr>
          <w:t>1</w:t>
        </w:r>
        <w:r>
          <w:rPr>
            <w:noProof/>
          </w:rPr>
          <w:fldChar w:fldCharType="end"/>
        </w:r>
      </w:p>
      <w:p w:rsidR="00FF7125" w:rsidRPr="006E19B2" w:rsidRDefault="00034445" w:rsidP="006E19B2">
        <w:pPr>
          <w:pStyle w:val="Footer"/>
          <w:jc w:val="right"/>
          <w:rPr>
            <w:i/>
            <w:sz w:val="20"/>
          </w:rPr>
        </w:pPr>
        <w:r>
          <w:rPr>
            <w:i/>
            <w:noProof/>
            <w:sz w:val="20"/>
          </w:rPr>
          <w:t xml:space="preserve">June 2017 </w:t>
        </w:r>
      </w:p>
    </w:sdtContent>
  </w:sdt>
  <w:p w:rsidR="00FF7125" w:rsidRDefault="00FF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B6" w:rsidRDefault="00DA5CB6" w:rsidP="00E404F3">
      <w:pPr>
        <w:spacing w:after="0" w:line="240" w:lineRule="auto"/>
      </w:pPr>
      <w:r>
        <w:separator/>
      </w:r>
    </w:p>
  </w:footnote>
  <w:footnote w:type="continuationSeparator" w:id="0">
    <w:p w:rsidR="00DA5CB6" w:rsidRDefault="00DA5CB6" w:rsidP="00E40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98E"/>
    <w:multiLevelType w:val="hybridMultilevel"/>
    <w:tmpl w:val="627466AA"/>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5900" w:hanging="360"/>
      </w:pPr>
      <w:rPr>
        <w:rFonts w:ascii="Courier New" w:hAnsi="Courier New" w:cs="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cs="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cs="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1">
    <w:nsid w:val="188551FF"/>
    <w:multiLevelType w:val="hybridMultilevel"/>
    <w:tmpl w:val="AEE2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955C81"/>
    <w:multiLevelType w:val="hybridMultilevel"/>
    <w:tmpl w:val="2B88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0464C"/>
    <w:multiLevelType w:val="hybridMultilevel"/>
    <w:tmpl w:val="0E88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C623E"/>
    <w:multiLevelType w:val="hybridMultilevel"/>
    <w:tmpl w:val="671AB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C47F92"/>
    <w:multiLevelType w:val="hybridMultilevel"/>
    <w:tmpl w:val="AC8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B745BD"/>
    <w:multiLevelType w:val="hybridMultilevel"/>
    <w:tmpl w:val="AEE2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02"/>
    <w:rsid w:val="00034445"/>
    <w:rsid w:val="000B2B12"/>
    <w:rsid w:val="001D6765"/>
    <w:rsid w:val="00355C64"/>
    <w:rsid w:val="003812CC"/>
    <w:rsid w:val="00452574"/>
    <w:rsid w:val="005000ED"/>
    <w:rsid w:val="005A3FA7"/>
    <w:rsid w:val="005E48FA"/>
    <w:rsid w:val="00661A0C"/>
    <w:rsid w:val="00670561"/>
    <w:rsid w:val="006716F7"/>
    <w:rsid w:val="006E19B2"/>
    <w:rsid w:val="00743576"/>
    <w:rsid w:val="00745422"/>
    <w:rsid w:val="00774D9A"/>
    <w:rsid w:val="007F6668"/>
    <w:rsid w:val="00866565"/>
    <w:rsid w:val="00874F41"/>
    <w:rsid w:val="0096378A"/>
    <w:rsid w:val="00A07F51"/>
    <w:rsid w:val="00A62F1A"/>
    <w:rsid w:val="00B50202"/>
    <w:rsid w:val="00B5466B"/>
    <w:rsid w:val="00B63298"/>
    <w:rsid w:val="00C17666"/>
    <w:rsid w:val="00C30F00"/>
    <w:rsid w:val="00C701D9"/>
    <w:rsid w:val="00D03C03"/>
    <w:rsid w:val="00D43DC4"/>
    <w:rsid w:val="00DA5CB6"/>
    <w:rsid w:val="00DA675E"/>
    <w:rsid w:val="00E04FED"/>
    <w:rsid w:val="00E404F3"/>
    <w:rsid w:val="00E91902"/>
    <w:rsid w:val="00ED4FC6"/>
    <w:rsid w:val="00FF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02"/>
    <w:rPr>
      <w:rFonts w:ascii="Tahoma" w:hAnsi="Tahoma" w:cs="Tahoma"/>
      <w:sz w:val="16"/>
      <w:szCs w:val="16"/>
    </w:rPr>
  </w:style>
  <w:style w:type="paragraph" w:styleId="ListParagraph">
    <w:name w:val="List Paragraph"/>
    <w:basedOn w:val="Normal"/>
    <w:uiPriority w:val="34"/>
    <w:qFormat/>
    <w:rsid w:val="00B50202"/>
    <w:pPr>
      <w:ind w:left="720"/>
      <w:contextualSpacing/>
    </w:pPr>
  </w:style>
  <w:style w:type="paragraph" w:styleId="Header">
    <w:name w:val="header"/>
    <w:basedOn w:val="Normal"/>
    <w:link w:val="HeaderChar"/>
    <w:uiPriority w:val="99"/>
    <w:unhideWhenUsed/>
    <w:rsid w:val="00E4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4F3"/>
  </w:style>
  <w:style w:type="paragraph" w:styleId="Footer">
    <w:name w:val="footer"/>
    <w:basedOn w:val="Normal"/>
    <w:link w:val="FooterChar"/>
    <w:uiPriority w:val="99"/>
    <w:unhideWhenUsed/>
    <w:rsid w:val="00E4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4F3"/>
  </w:style>
  <w:style w:type="table" w:styleId="TableGrid">
    <w:name w:val="Table Grid"/>
    <w:basedOn w:val="TableNormal"/>
    <w:uiPriority w:val="59"/>
    <w:rsid w:val="0035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02"/>
    <w:rPr>
      <w:rFonts w:ascii="Tahoma" w:hAnsi="Tahoma" w:cs="Tahoma"/>
      <w:sz w:val="16"/>
      <w:szCs w:val="16"/>
    </w:rPr>
  </w:style>
  <w:style w:type="paragraph" w:styleId="ListParagraph">
    <w:name w:val="List Paragraph"/>
    <w:basedOn w:val="Normal"/>
    <w:uiPriority w:val="34"/>
    <w:qFormat/>
    <w:rsid w:val="00B50202"/>
    <w:pPr>
      <w:ind w:left="720"/>
      <w:contextualSpacing/>
    </w:pPr>
  </w:style>
  <w:style w:type="paragraph" w:styleId="Header">
    <w:name w:val="header"/>
    <w:basedOn w:val="Normal"/>
    <w:link w:val="HeaderChar"/>
    <w:uiPriority w:val="99"/>
    <w:unhideWhenUsed/>
    <w:rsid w:val="00E4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4F3"/>
  </w:style>
  <w:style w:type="paragraph" w:styleId="Footer">
    <w:name w:val="footer"/>
    <w:basedOn w:val="Normal"/>
    <w:link w:val="FooterChar"/>
    <w:uiPriority w:val="99"/>
    <w:unhideWhenUsed/>
    <w:rsid w:val="00E4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4F3"/>
  </w:style>
  <w:style w:type="table" w:styleId="TableGrid">
    <w:name w:val="Table Grid"/>
    <w:basedOn w:val="TableNormal"/>
    <w:uiPriority w:val="59"/>
    <w:rsid w:val="0035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A570-F17C-4CF5-96FB-05B58E87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heads</cp:lastModifiedBy>
  <cp:revision>3</cp:revision>
  <dcterms:created xsi:type="dcterms:W3CDTF">2017-06-05T08:43:00Z</dcterms:created>
  <dcterms:modified xsi:type="dcterms:W3CDTF">2017-06-07T11:00:00Z</dcterms:modified>
</cp:coreProperties>
</file>