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4D" w:rsidRDefault="00300B55" w:rsidP="002A6D4D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  <w:r>
        <w:rPr>
          <w:b/>
          <w:bCs/>
          <w:color w:val="auto"/>
          <w:sz w:val="23"/>
          <w:szCs w:val="23"/>
        </w:rPr>
        <w:t>Assistant Head</w:t>
      </w:r>
      <w:r w:rsidR="002A6D4D">
        <w:rPr>
          <w:b/>
          <w:bCs/>
          <w:color w:val="auto"/>
          <w:sz w:val="23"/>
          <w:szCs w:val="23"/>
        </w:rPr>
        <w:t xml:space="preserve"> Person Specification </w:t>
      </w:r>
    </w:p>
    <w:p w:rsidR="002A6D4D" w:rsidRDefault="002A6D4D" w:rsidP="002A6D4D">
      <w:pPr>
        <w:pStyle w:val="Default"/>
        <w:rPr>
          <w:b/>
          <w:bCs/>
          <w:color w:val="auto"/>
          <w:sz w:val="22"/>
          <w:szCs w:val="22"/>
        </w:rPr>
      </w:pPr>
    </w:p>
    <w:p w:rsidR="002A6D4D" w:rsidRDefault="002A6D4D" w:rsidP="002A6D4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Sherwood Park - </w:t>
      </w:r>
      <w:r w:rsidR="005F52DE">
        <w:rPr>
          <w:b/>
          <w:bCs/>
          <w:color w:val="auto"/>
          <w:sz w:val="22"/>
          <w:szCs w:val="22"/>
        </w:rPr>
        <w:t>Sherwood Park</w:t>
      </w:r>
      <w:r>
        <w:rPr>
          <w:b/>
          <w:bCs/>
          <w:color w:val="auto"/>
          <w:sz w:val="22"/>
          <w:szCs w:val="22"/>
        </w:rPr>
        <w:t xml:space="preserve"> Campus </w:t>
      </w:r>
    </w:p>
    <w:p w:rsidR="002A6D4D" w:rsidRDefault="002A6D4D" w:rsidP="002A6D4D">
      <w:pPr>
        <w:pStyle w:val="Default"/>
        <w:rPr>
          <w:b/>
          <w:bCs/>
          <w:color w:val="auto"/>
          <w:sz w:val="22"/>
          <w:szCs w:val="22"/>
        </w:rPr>
      </w:pPr>
    </w:p>
    <w:p w:rsidR="002A6D4D" w:rsidRDefault="002A6D4D" w:rsidP="002A6D4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FULL TIME </w:t>
      </w:r>
      <w:r w:rsidR="00300B55">
        <w:rPr>
          <w:b/>
          <w:bCs/>
          <w:color w:val="auto"/>
          <w:sz w:val="22"/>
          <w:szCs w:val="22"/>
        </w:rPr>
        <w:t>ASSISTANT HEAD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2A6D4D" w:rsidRDefault="002A6D4D" w:rsidP="002A6D4D">
      <w:pPr>
        <w:pStyle w:val="Default"/>
        <w:rPr>
          <w:b/>
          <w:bCs/>
          <w:color w:val="auto"/>
          <w:sz w:val="22"/>
          <w:szCs w:val="22"/>
        </w:rPr>
      </w:pPr>
    </w:p>
    <w:p w:rsidR="002A6D4D" w:rsidRDefault="00300B55" w:rsidP="002A6D4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LEADERSHIP PAY SPINE L8 - L13</w:t>
      </w:r>
    </w:p>
    <w:p w:rsidR="002A6D4D" w:rsidRDefault="002A6D4D" w:rsidP="002A6D4D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046"/>
      </w:tblGrid>
      <w:tr w:rsidR="002A6D4D" w:rsidTr="002A6D4D">
        <w:tc>
          <w:tcPr>
            <w:tcW w:w="534" w:type="dxa"/>
          </w:tcPr>
          <w:p w:rsidR="002A6D4D" w:rsidRDefault="002A6D4D" w:rsidP="002A6D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</w:tcPr>
          <w:p w:rsidR="002A6D4D" w:rsidRDefault="002A6D4D" w:rsidP="002A6D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2A6D4D" w:rsidRPr="002A6D4D" w:rsidRDefault="002A6D4D" w:rsidP="002A6D4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Education/Qualifications</w:t>
            </w:r>
          </w:p>
        </w:tc>
        <w:tc>
          <w:tcPr>
            <w:tcW w:w="2046" w:type="dxa"/>
          </w:tcPr>
          <w:p w:rsidR="002A6D4D" w:rsidRDefault="002A6D4D" w:rsidP="002A6D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Desirable (D)/ Essential (E)</w:t>
            </w:r>
          </w:p>
        </w:tc>
      </w:tr>
      <w:tr w:rsidR="002A6D4D" w:rsidTr="002A6D4D">
        <w:tc>
          <w:tcPr>
            <w:tcW w:w="534" w:type="dxa"/>
          </w:tcPr>
          <w:p w:rsidR="002A6D4D" w:rsidRDefault="002A6D4D" w:rsidP="002A6D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6662" w:type="dxa"/>
          </w:tcPr>
          <w:p w:rsidR="002A6D4D" w:rsidRDefault="002A6D4D" w:rsidP="002A6D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Recognition as a qualified teacher from the Department for Children, Schools and Families.</w:t>
            </w:r>
          </w:p>
        </w:tc>
        <w:tc>
          <w:tcPr>
            <w:tcW w:w="2046" w:type="dxa"/>
          </w:tcPr>
          <w:p w:rsidR="002A6D4D" w:rsidRDefault="002A6D4D" w:rsidP="002A6D4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A6D4D" w:rsidRDefault="002A6D4D" w:rsidP="002A6D4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E</w:t>
            </w:r>
          </w:p>
        </w:tc>
      </w:tr>
      <w:tr w:rsidR="002A6D4D" w:rsidTr="002A6D4D">
        <w:tc>
          <w:tcPr>
            <w:tcW w:w="534" w:type="dxa"/>
          </w:tcPr>
          <w:p w:rsidR="002A6D4D" w:rsidRDefault="002A6D4D" w:rsidP="002A6D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</w:tcPr>
          <w:p w:rsidR="002A6D4D" w:rsidRDefault="002A6D4D" w:rsidP="002A6D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2A6D4D" w:rsidRDefault="002A6D4D" w:rsidP="002A6D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Abilities/Skills/Knowledge</w:t>
            </w:r>
          </w:p>
        </w:tc>
        <w:tc>
          <w:tcPr>
            <w:tcW w:w="2046" w:type="dxa"/>
          </w:tcPr>
          <w:p w:rsidR="002A6D4D" w:rsidRDefault="002A6D4D" w:rsidP="002A6D4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A6D4D" w:rsidTr="002A6D4D">
        <w:tc>
          <w:tcPr>
            <w:tcW w:w="534" w:type="dxa"/>
          </w:tcPr>
          <w:p w:rsidR="002A6D4D" w:rsidRDefault="00300B55" w:rsidP="002A6D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</w:t>
            </w:r>
            <w:r w:rsidR="002A6D4D">
              <w:rPr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2A6D4D" w:rsidRDefault="002A6D4D" w:rsidP="00300B5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Proven ability to teach </w:t>
            </w:r>
            <w:r w:rsidR="00300B55">
              <w:rPr>
                <w:color w:val="auto"/>
                <w:sz w:val="22"/>
                <w:szCs w:val="22"/>
              </w:rPr>
              <w:t>ASD students</w:t>
            </w:r>
          </w:p>
        </w:tc>
        <w:tc>
          <w:tcPr>
            <w:tcW w:w="2046" w:type="dxa"/>
          </w:tcPr>
          <w:p w:rsidR="002A6D4D" w:rsidRDefault="00300B55" w:rsidP="002A6D4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E</w:t>
            </w:r>
          </w:p>
        </w:tc>
      </w:tr>
      <w:tr w:rsidR="006C315D" w:rsidTr="002A6D4D">
        <w:tc>
          <w:tcPr>
            <w:tcW w:w="534" w:type="dxa"/>
          </w:tcPr>
          <w:p w:rsidR="006C315D" w:rsidRDefault="00300B55" w:rsidP="002A6D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3</w:t>
            </w:r>
            <w:r w:rsidR="006C315D">
              <w:rPr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6C315D" w:rsidRDefault="006C315D" w:rsidP="00300B5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Proven ability to teach </w:t>
            </w:r>
            <w:r w:rsidR="00300B55">
              <w:rPr>
                <w:color w:val="auto"/>
                <w:sz w:val="22"/>
                <w:szCs w:val="22"/>
              </w:rPr>
              <w:t xml:space="preserve">SLD/PMLD students </w:t>
            </w:r>
          </w:p>
        </w:tc>
        <w:tc>
          <w:tcPr>
            <w:tcW w:w="2046" w:type="dxa"/>
          </w:tcPr>
          <w:p w:rsidR="006C315D" w:rsidRDefault="006C315D" w:rsidP="002A6D4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D</w:t>
            </w:r>
          </w:p>
        </w:tc>
      </w:tr>
      <w:tr w:rsidR="002A6D4D" w:rsidTr="002A6D4D">
        <w:tc>
          <w:tcPr>
            <w:tcW w:w="534" w:type="dxa"/>
          </w:tcPr>
          <w:p w:rsidR="002A6D4D" w:rsidRDefault="00300B55" w:rsidP="002A6D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4</w:t>
            </w:r>
            <w:r w:rsidR="002A6D4D">
              <w:rPr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2A6D4D" w:rsidRDefault="00300B55" w:rsidP="00300B5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Excellent</w:t>
            </w:r>
            <w:r w:rsidR="002A6D4D">
              <w:rPr>
                <w:color w:val="auto"/>
                <w:sz w:val="22"/>
                <w:szCs w:val="22"/>
              </w:rPr>
              <w:t xml:space="preserve"> knowledge of </w:t>
            </w:r>
            <w:r>
              <w:rPr>
                <w:color w:val="auto"/>
                <w:sz w:val="22"/>
                <w:szCs w:val="22"/>
              </w:rPr>
              <w:t>a range of curriculum approaches and assessment methods to deliver highly effective and aspirational teaching and learning for young people with Autism.</w:t>
            </w:r>
          </w:p>
        </w:tc>
        <w:tc>
          <w:tcPr>
            <w:tcW w:w="2046" w:type="dxa"/>
          </w:tcPr>
          <w:p w:rsidR="002A6D4D" w:rsidRDefault="002A6D4D" w:rsidP="002A6D4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E</w:t>
            </w:r>
          </w:p>
        </w:tc>
      </w:tr>
      <w:tr w:rsidR="002A6D4D" w:rsidTr="002A6D4D">
        <w:tc>
          <w:tcPr>
            <w:tcW w:w="534" w:type="dxa"/>
          </w:tcPr>
          <w:p w:rsidR="002A6D4D" w:rsidRDefault="006C315D" w:rsidP="002A6D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4</w:t>
            </w:r>
            <w:r w:rsidR="002A6D4D">
              <w:rPr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2A6D4D" w:rsidRDefault="002A6D4D" w:rsidP="00300B5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Ability to lead </w:t>
            </w:r>
            <w:r w:rsidR="00300B55">
              <w:rPr>
                <w:color w:val="auto"/>
                <w:sz w:val="22"/>
                <w:szCs w:val="22"/>
              </w:rPr>
              <w:t>and motivate staff and demonstrate an effective and empathetic approach to resolving issues</w:t>
            </w:r>
            <w:r w:rsidR="002F304E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046" w:type="dxa"/>
          </w:tcPr>
          <w:p w:rsidR="002A6D4D" w:rsidRDefault="006C315D" w:rsidP="002A6D4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E</w:t>
            </w:r>
          </w:p>
        </w:tc>
      </w:tr>
      <w:tr w:rsidR="002A6D4D" w:rsidTr="002A6D4D">
        <w:tc>
          <w:tcPr>
            <w:tcW w:w="534" w:type="dxa"/>
          </w:tcPr>
          <w:p w:rsidR="002A6D4D" w:rsidRDefault="006C315D" w:rsidP="002A6D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5</w:t>
            </w:r>
            <w:r w:rsidR="002A6D4D">
              <w:rPr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2A6D4D" w:rsidRDefault="002A6D4D" w:rsidP="00300B5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 empowering, positive and respectful approach to teaching and supporting students with Special Educational Needs</w:t>
            </w:r>
          </w:p>
        </w:tc>
        <w:tc>
          <w:tcPr>
            <w:tcW w:w="2046" w:type="dxa"/>
          </w:tcPr>
          <w:p w:rsidR="002A6D4D" w:rsidRDefault="006C315D" w:rsidP="002A6D4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E</w:t>
            </w:r>
          </w:p>
        </w:tc>
      </w:tr>
      <w:tr w:rsidR="002A6D4D" w:rsidTr="002A6D4D">
        <w:tc>
          <w:tcPr>
            <w:tcW w:w="534" w:type="dxa"/>
          </w:tcPr>
          <w:p w:rsidR="002A6D4D" w:rsidRDefault="006C315D" w:rsidP="002A6D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6</w:t>
            </w:r>
            <w:r w:rsidR="002A6D4D">
              <w:rPr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2A6D4D" w:rsidRDefault="002A6D4D" w:rsidP="00300B5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Experience o</w:t>
            </w:r>
            <w:r w:rsidR="006C315D">
              <w:rPr>
                <w:color w:val="auto"/>
                <w:sz w:val="22"/>
                <w:szCs w:val="22"/>
              </w:rPr>
              <w:t>f</w:t>
            </w:r>
            <w:r>
              <w:rPr>
                <w:color w:val="auto"/>
                <w:sz w:val="22"/>
                <w:szCs w:val="22"/>
              </w:rPr>
              <w:t xml:space="preserve"> leading</w:t>
            </w:r>
            <w:r w:rsidR="007F3B84">
              <w:rPr>
                <w:color w:val="auto"/>
                <w:sz w:val="22"/>
                <w:szCs w:val="22"/>
              </w:rPr>
              <w:t xml:space="preserve"> and developing</w:t>
            </w:r>
            <w:r>
              <w:rPr>
                <w:color w:val="auto"/>
                <w:sz w:val="22"/>
                <w:szCs w:val="22"/>
              </w:rPr>
              <w:t xml:space="preserve"> specific area of the curriculum </w:t>
            </w:r>
            <w:r w:rsidR="00300B55">
              <w:rPr>
                <w:color w:val="auto"/>
                <w:sz w:val="22"/>
                <w:szCs w:val="22"/>
              </w:rPr>
              <w:t>or school operations</w:t>
            </w:r>
          </w:p>
        </w:tc>
        <w:tc>
          <w:tcPr>
            <w:tcW w:w="2046" w:type="dxa"/>
          </w:tcPr>
          <w:p w:rsidR="002A6D4D" w:rsidRDefault="007F3B84" w:rsidP="002A6D4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E</w:t>
            </w:r>
          </w:p>
        </w:tc>
      </w:tr>
      <w:tr w:rsidR="002A6D4D" w:rsidTr="002A6D4D">
        <w:tc>
          <w:tcPr>
            <w:tcW w:w="534" w:type="dxa"/>
          </w:tcPr>
          <w:p w:rsidR="002A6D4D" w:rsidRDefault="006C315D" w:rsidP="002A6D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7</w:t>
            </w:r>
            <w:r w:rsidR="002A6D4D">
              <w:rPr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2A6D4D" w:rsidRDefault="00300B55" w:rsidP="00300B5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Ability to contribute effectively to the School’s self-evaluation and the School Development Plan</w:t>
            </w:r>
          </w:p>
        </w:tc>
        <w:tc>
          <w:tcPr>
            <w:tcW w:w="2046" w:type="dxa"/>
          </w:tcPr>
          <w:p w:rsidR="002A6D4D" w:rsidRDefault="00300B55" w:rsidP="006C315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E</w:t>
            </w:r>
          </w:p>
        </w:tc>
      </w:tr>
      <w:tr w:rsidR="002A6D4D" w:rsidTr="002A6D4D">
        <w:tc>
          <w:tcPr>
            <w:tcW w:w="534" w:type="dxa"/>
          </w:tcPr>
          <w:p w:rsidR="002A6D4D" w:rsidRDefault="006C315D" w:rsidP="002A6D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8.</w:t>
            </w:r>
          </w:p>
        </w:tc>
        <w:tc>
          <w:tcPr>
            <w:tcW w:w="6662" w:type="dxa"/>
          </w:tcPr>
          <w:p w:rsidR="002A6D4D" w:rsidRDefault="006C315D" w:rsidP="002A6D4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An ability to </w:t>
            </w:r>
            <w:r w:rsidR="00300B55">
              <w:rPr>
                <w:color w:val="auto"/>
                <w:sz w:val="22"/>
                <w:szCs w:val="22"/>
              </w:rPr>
              <w:t>support teachers in the devising and monitoring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300B55">
              <w:rPr>
                <w:color w:val="auto"/>
                <w:sz w:val="22"/>
                <w:szCs w:val="22"/>
              </w:rPr>
              <w:t xml:space="preserve">of </w:t>
            </w:r>
            <w:r>
              <w:rPr>
                <w:color w:val="auto"/>
                <w:sz w:val="22"/>
                <w:szCs w:val="22"/>
              </w:rPr>
              <w:t>Personal Learning Programmes (PLP’s) to meet the student's needs within the agreed syllabus and implement the programmes provided by the multi-professional team.</w:t>
            </w:r>
          </w:p>
        </w:tc>
        <w:tc>
          <w:tcPr>
            <w:tcW w:w="2046" w:type="dxa"/>
          </w:tcPr>
          <w:p w:rsidR="002A6D4D" w:rsidRDefault="006C315D" w:rsidP="002A6D4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E</w:t>
            </w:r>
          </w:p>
        </w:tc>
      </w:tr>
      <w:tr w:rsidR="002A6D4D" w:rsidTr="002A6D4D">
        <w:tc>
          <w:tcPr>
            <w:tcW w:w="534" w:type="dxa"/>
          </w:tcPr>
          <w:p w:rsidR="002A6D4D" w:rsidRDefault="006C315D" w:rsidP="002A6D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9.</w:t>
            </w:r>
          </w:p>
        </w:tc>
        <w:tc>
          <w:tcPr>
            <w:tcW w:w="6662" w:type="dxa"/>
          </w:tcPr>
          <w:p w:rsidR="002A6D4D" w:rsidRDefault="006C315D" w:rsidP="00300B5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An ability to maintain, clear, concise, up to date records in accordance with the schools chosen system. </w:t>
            </w:r>
          </w:p>
        </w:tc>
        <w:tc>
          <w:tcPr>
            <w:tcW w:w="2046" w:type="dxa"/>
          </w:tcPr>
          <w:p w:rsidR="002A6D4D" w:rsidRDefault="006C315D" w:rsidP="002A6D4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E</w:t>
            </w:r>
          </w:p>
        </w:tc>
      </w:tr>
      <w:tr w:rsidR="002A6D4D" w:rsidTr="002A6D4D">
        <w:tc>
          <w:tcPr>
            <w:tcW w:w="534" w:type="dxa"/>
          </w:tcPr>
          <w:p w:rsidR="002A6D4D" w:rsidRDefault="006C315D" w:rsidP="002A6D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10.</w:t>
            </w:r>
          </w:p>
        </w:tc>
        <w:tc>
          <w:tcPr>
            <w:tcW w:w="6662" w:type="dxa"/>
          </w:tcPr>
          <w:p w:rsidR="002A6D4D" w:rsidRDefault="006C315D" w:rsidP="00300B5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An ability to </w:t>
            </w:r>
            <w:r w:rsidR="00300B55">
              <w:rPr>
                <w:color w:val="auto"/>
                <w:sz w:val="22"/>
                <w:szCs w:val="22"/>
              </w:rPr>
              <w:t>lead the Sherwood Hill site in</w:t>
            </w:r>
            <w:r>
              <w:rPr>
                <w:color w:val="auto"/>
                <w:sz w:val="22"/>
                <w:szCs w:val="22"/>
              </w:rPr>
              <w:t xml:space="preserve"> behaviour management </w:t>
            </w:r>
          </w:p>
        </w:tc>
        <w:tc>
          <w:tcPr>
            <w:tcW w:w="2046" w:type="dxa"/>
          </w:tcPr>
          <w:p w:rsidR="002A6D4D" w:rsidRDefault="007F3B84" w:rsidP="002A6D4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E</w:t>
            </w:r>
          </w:p>
        </w:tc>
      </w:tr>
      <w:tr w:rsidR="00300B55" w:rsidTr="002A6D4D">
        <w:tc>
          <w:tcPr>
            <w:tcW w:w="534" w:type="dxa"/>
          </w:tcPr>
          <w:p w:rsidR="00300B55" w:rsidRDefault="002F304E" w:rsidP="002A6D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11.</w:t>
            </w:r>
          </w:p>
        </w:tc>
        <w:tc>
          <w:tcPr>
            <w:tcW w:w="6662" w:type="dxa"/>
          </w:tcPr>
          <w:p w:rsidR="00300B55" w:rsidRDefault="002F304E" w:rsidP="00300B5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Ability to lead the Sherwood Hill site in terms of Pastoral Care</w:t>
            </w:r>
          </w:p>
        </w:tc>
        <w:tc>
          <w:tcPr>
            <w:tcW w:w="2046" w:type="dxa"/>
          </w:tcPr>
          <w:p w:rsidR="00300B55" w:rsidRDefault="002F304E" w:rsidP="002A6D4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E</w:t>
            </w:r>
          </w:p>
        </w:tc>
      </w:tr>
      <w:tr w:rsidR="002F304E" w:rsidTr="002A6D4D">
        <w:tc>
          <w:tcPr>
            <w:tcW w:w="534" w:type="dxa"/>
          </w:tcPr>
          <w:p w:rsidR="002F304E" w:rsidRDefault="002F304E" w:rsidP="002A6D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12.</w:t>
            </w:r>
          </w:p>
        </w:tc>
        <w:tc>
          <w:tcPr>
            <w:tcW w:w="6662" w:type="dxa"/>
          </w:tcPr>
          <w:p w:rsidR="002F304E" w:rsidRDefault="002F304E" w:rsidP="00300B5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Experience of contributing to leadership team meetings through a relevant leadership role</w:t>
            </w:r>
          </w:p>
        </w:tc>
        <w:tc>
          <w:tcPr>
            <w:tcW w:w="2046" w:type="dxa"/>
          </w:tcPr>
          <w:p w:rsidR="002F304E" w:rsidRDefault="002F304E" w:rsidP="002A6D4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D</w:t>
            </w:r>
          </w:p>
        </w:tc>
      </w:tr>
      <w:tr w:rsidR="002A6D4D" w:rsidTr="002A6D4D">
        <w:tc>
          <w:tcPr>
            <w:tcW w:w="534" w:type="dxa"/>
          </w:tcPr>
          <w:p w:rsidR="002A6D4D" w:rsidRDefault="002F304E" w:rsidP="002A6D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13</w:t>
            </w:r>
            <w:r w:rsidR="006C315D">
              <w:rPr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2A6D4D" w:rsidRDefault="007F3B84" w:rsidP="007F3B8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Willingness to undertake and act on training courses as required by the Headteacher and take responsibility for own continuing professional development</w:t>
            </w:r>
          </w:p>
        </w:tc>
        <w:tc>
          <w:tcPr>
            <w:tcW w:w="2046" w:type="dxa"/>
          </w:tcPr>
          <w:p w:rsidR="002A6D4D" w:rsidRDefault="007F3B84" w:rsidP="002A6D4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E</w:t>
            </w:r>
          </w:p>
        </w:tc>
      </w:tr>
      <w:tr w:rsidR="002A6D4D" w:rsidTr="002A6D4D">
        <w:tc>
          <w:tcPr>
            <w:tcW w:w="534" w:type="dxa"/>
          </w:tcPr>
          <w:p w:rsidR="002A6D4D" w:rsidRDefault="002F304E" w:rsidP="002A6D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14</w:t>
            </w:r>
            <w:r w:rsidR="007F3B84">
              <w:rPr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2A6D4D" w:rsidRDefault="007F3B84" w:rsidP="007F3B8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 ability to communicate and work collaboratively with colleagues, parents/carers, multi-disciplinary teams, agencies, feeder schools and post-16 providers.</w:t>
            </w:r>
          </w:p>
        </w:tc>
        <w:tc>
          <w:tcPr>
            <w:tcW w:w="2046" w:type="dxa"/>
          </w:tcPr>
          <w:p w:rsidR="002A6D4D" w:rsidRDefault="007F3B84" w:rsidP="002A6D4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E</w:t>
            </w:r>
          </w:p>
        </w:tc>
      </w:tr>
      <w:tr w:rsidR="002A6D4D" w:rsidTr="002A6D4D">
        <w:tc>
          <w:tcPr>
            <w:tcW w:w="534" w:type="dxa"/>
          </w:tcPr>
          <w:p w:rsidR="002A6D4D" w:rsidRDefault="002F304E" w:rsidP="002A6D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15</w:t>
            </w:r>
            <w:r w:rsidR="007F3B84">
              <w:rPr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2A6D4D" w:rsidRDefault="007F3B84" w:rsidP="007F3B8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Ability to demonstrate effective knowledge and experience to ensure the Safeguarding of all learners</w:t>
            </w:r>
          </w:p>
        </w:tc>
        <w:tc>
          <w:tcPr>
            <w:tcW w:w="2046" w:type="dxa"/>
          </w:tcPr>
          <w:p w:rsidR="002A6D4D" w:rsidRDefault="007F3B84" w:rsidP="002A6D4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E</w:t>
            </w:r>
          </w:p>
        </w:tc>
      </w:tr>
      <w:tr w:rsidR="007F3B84" w:rsidTr="002A6D4D">
        <w:tc>
          <w:tcPr>
            <w:tcW w:w="534" w:type="dxa"/>
          </w:tcPr>
          <w:p w:rsidR="007F3B84" w:rsidRDefault="002F304E" w:rsidP="002A6D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16</w:t>
            </w:r>
            <w:r w:rsidR="007F3B84">
              <w:rPr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7F3B84" w:rsidRDefault="007F3B84" w:rsidP="0056390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Ability to </w:t>
            </w:r>
            <w:r w:rsidR="0056390B">
              <w:rPr>
                <w:color w:val="auto"/>
                <w:sz w:val="22"/>
                <w:szCs w:val="22"/>
              </w:rPr>
              <w:t>positively and pro-actively champion the rights, interests and wellbeing of people with learning disabilities and demonstrate an empathy and understanding of the needs of their families.</w:t>
            </w:r>
          </w:p>
        </w:tc>
        <w:tc>
          <w:tcPr>
            <w:tcW w:w="2046" w:type="dxa"/>
          </w:tcPr>
          <w:p w:rsidR="007F3B84" w:rsidRDefault="0056390B" w:rsidP="002A6D4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E</w:t>
            </w:r>
          </w:p>
        </w:tc>
      </w:tr>
    </w:tbl>
    <w:p w:rsidR="002A6D4D" w:rsidRDefault="002A6D4D" w:rsidP="002A6D4D">
      <w:pPr>
        <w:pStyle w:val="Default"/>
        <w:rPr>
          <w:b/>
          <w:bCs/>
          <w:color w:val="auto"/>
          <w:sz w:val="22"/>
          <w:szCs w:val="22"/>
        </w:rPr>
      </w:pPr>
    </w:p>
    <w:p w:rsidR="002A6D4D" w:rsidRDefault="002A6D4D" w:rsidP="002A6D4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Other Relevant Factors </w:t>
      </w:r>
    </w:p>
    <w:p w:rsidR="002A6D4D" w:rsidRDefault="002A6D4D" w:rsidP="002A6D4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school has a no-smoking policy. </w:t>
      </w:r>
    </w:p>
    <w:p w:rsidR="00822929" w:rsidRDefault="002A6D4D" w:rsidP="002A6D4D">
      <w:r>
        <w:t>The school is committed to safeguarding and promoting the welfare of children and young people and expects all staff and volunteers to share this commitment.</w:t>
      </w:r>
    </w:p>
    <w:sectPr w:rsidR="0082292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0B" w:rsidRDefault="0056390B" w:rsidP="0056390B">
      <w:pPr>
        <w:spacing w:after="0" w:line="240" w:lineRule="auto"/>
      </w:pPr>
      <w:r>
        <w:separator/>
      </w:r>
    </w:p>
  </w:endnote>
  <w:endnote w:type="continuationSeparator" w:id="0">
    <w:p w:rsidR="0056390B" w:rsidRDefault="0056390B" w:rsidP="0056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0B" w:rsidRPr="0056390B" w:rsidRDefault="002F304E">
    <w:pPr>
      <w:pStyle w:val="Footer"/>
      <w:rPr>
        <w:sz w:val="16"/>
        <w:szCs w:val="16"/>
      </w:rPr>
    </w:pPr>
    <w:r>
      <w:rPr>
        <w:sz w:val="16"/>
        <w:szCs w:val="16"/>
      </w:rPr>
      <w:t>SPS-SHAssistHeadPS0317</w:t>
    </w:r>
    <w:r w:rsidR="0056390B" w:rsidRPr="0056390B">
      <w:rPr>
        <w:sz w:val="16"/>
        <w:szCs w:val="16"/>
      </w:rPr>
      <w:t>-SV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0B" w:rsidRDefault="0056390B" w:rsidP="0056390B">
      <w:pPr>
        <w:spacing w:after="0" w:line="240" w:lineRule="auto"/>
      </w:pPr>
      <w:r>
        <w:separator/>
      </w:r>
    </w:p>
  </w:footnote>
  <w:footnote w:type="continuationSeparator" w:id="0">
    <w:p w:rsidR="0056390B" w:rsidRDefault="0056390B" w:rsidP="00563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4D"/>
    <w:rsid w:val="002A6D4D"/>
    <w:rsid w:val="002F304E"/>
    <w:rsid w:val="00300B55"/>
    <w:rsid w:val="0056390B"/>
    <w:rsid w:val="005F52DE"/>
    <w:rsid w:val="00673E1D"/>
    <w:rsid w:val="006778F2"/>
    <w:rsid w:val="006C315D"/>
    <w:rsid w:val="007F3B84"/>
    <w:rsid w:val="00822929"/>
    <w:rsid w:val="0084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6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A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90B"/>
  </w:style>
  <w:style w:type="paragraph" w:styleId="Footer">
    <w:name w:val="footer"/>
    <w:basedOn w:val="Normal"/>
    <w:link w:val="FooterChar"/>
    <w:uiPriority w:val="99"/>
    <w:unhideWhenUsed/>
    <w:rsid w:val="00563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6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A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90B"/>
  </w:style>
  <w:style w:type="paragraph" w:styleId="Footer">
    <w:name w:val="footer"/>
    <w:basedOn w:val="Normal"/>
    <w:link w:val="FooterChar"/>
    <w:uiPriority w:val="99"/>
    <w:unhideWhenUsed/>
    <w:rsid w:val="00563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Vines, Simon</dc:creator>
  <cp:lastModifiedBy>Vines, Simon</cp:lastModifiedBy>
  <cp:revision>3</cp:revision>
  <dcterms:created xsi:type="dcterms:W3CDTF">2018-03-29T11:34:00Z</dcterms:created>
  <dcterms:modified xsi:type="dcterms:W3CDTF">2018-03-29T11:48:00Z</dcterms:modified>
</cp:coreProperties>
</file>