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ED" w:rsidRDefault="00694053">
      <w:pPr>
        <w:jc w:val="center"/>
        <w:rPr>
          <w:rFonts w:ascii="Tahoma" w:eastAsia="Tahoma" w:hAnsi="Tahoma" w:cs="Tahoma"/>
          <w:color w:val="003366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4055745</wp:posOffset>
            </wp:positionH>
            <wp:positionV relativeFrom="paragraph">
              <wp:posOffset>-412114</wp:posOffset>
            </wp:positionV>
            <wp:extent cx="1792605" cy="47625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40ED" w:rsidRDefault="007240ED">
      <w:pPr>
        <w:rPr>
          <w:rFonts w:ascii="Tahoma" w:eastAsia="Tahoma" w:hAnsi="Tahoma" w:cs="Tahoma"/>
        </w:rPr>
      </w:pPr>
    </w:p>
    <w:p w:rsidR="007240ED" w:rsidRDefault="007240ED">
      <w:pPr>
        <w:rPr>
          <w:rFonts w:ascii="Tahoma" w:eastAsia="Tahoma" w:hAnsi="Tahoma" w:cs="Tahoma"/>
        </w:rPr>
      </w:pP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240ED">
        <w:tc>
          <w:tcPr>
            <w:tcW w:w="8522" w:type="dxa"/>
            <w:shd w:val="clear" w:color="auto" w:fill="003366"/>
          </w:tcPr>
          <w:p w:rsidR="007240ED" w:rsidRDefault="007240ED">
            <w:pPr>
              <w:jc w:val="center"/>
              <w:rPr>
                <w:rFonts w:ascii="Arial" w:eastAsia="Arial" w:hAnsi="Arial" w:cs="Arial"/>
                <w:color w:val="FFFFFF"/>
              </w:rPr>
            </w:pPr>
          </w:p>
          <w:p w:rsidR="007240ED" w:rsidRDefault="00694053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Job Description</w:t>
            </w:r>
          </w:p>
          <w:p w:rsidR="007240ED" w:rsidRDefault="007240ED">
            <w:pPr>
              <w:jc w:val="center"/>
              <w:rPr>
                <w:rFonts w:ascii="Arial" w:eastAsia="Arial" w:hAnsi="Arial" w:cs="Arial"/>
                <w:color w:val="FFFFFF"/>
              </w:rPr>
            </w:pPr>
          </w:p>
        </w:tc>
      </w:tr>
      <w:tr w:rsidR="007240ED">
        <w:tc>
          <w:tcPr>
            <w:tcW w:w="8522" w:type="dxa"/>
          </w:tcPr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Job Title:   </w:t>
            </w:r>
            <w:r>
              <w:rPr>
                <w:rFonts w:ascii="Arial" w:eastAsia="Arial" w:hAnsi="Arial" w:cs="Arial"/>
                <w:sz w:val="22"/>
                <w:szCs w:val="22"/>
              </w:rPr>
              <w:t>3D Design Instructor/Technician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Department:  </w:t>
            </w:r>
            <w:r>
              <w:rPr>
                <w:rFonts w:ascii="Arial" w:eastAsia="Arial" w:hAnsi="Arial" w:cs="Arial"/>
                <w:sz w:val="22"/>
                <w:szCs w:val="22"/>
              </w:rPr>
              <w:t>Visual Arts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Contract: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Fixed term one year 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Starting:    </w:t>
            </w:r>
            <w:r>
              <w:rPr>
                <w:rFonts w:ascii="Arial" w:eastAsia="Arial" w:hAnsi="Arial" w:cs="Arial"/>
                <w:sz w:val="22"/>
                <w:szCs w:val="22"/>
              </w:rPr>
              <w:t>1 September 2018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Hrs:  </w:t>
            </w:r>
            <w:r>
              <w:rPr>
                <w:rFonts w:ascii="Arial" w:eastAsia="Arial" w:hAnsi="Arial" w:cs="Arial"/>
                <w:sz w:val="22"/>
                <w:szCs w:val="22"/>
              </w:rPr>
              <w:t>15.5 hours per week, term time plus 1 week (40 weeks)</w:t>
            </w:r>
            <w:r w:rsidR="00BD26E7"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 w:rsidR="00AF7751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BD26E7">
              <w:rPr>
                <w:rFonts w:ascii="Arial" w:eastAsia="Arial" w:hAnsi="Arial" w:cs="Arial"/>
                <w:sz w:val="22"/>
                <w:szCs w:val="22"/>
              </w:rPr>
              <w:t>Working Monday and Tuesdays only</w:t>
            </w:r>
            <w:r w:rsidR="00AF775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Grade: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SFCA Support Staff Spine Band 3, £18,494-£20,458 per annum pro rata pa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Responsible to:  </w:t>
            </w:r>
            <w:r>
              <w:rPr>
                <w:rFonts w:ascii="Arial" w:eastAsia="Arial" w:hAnsi="Arial" w:cs="Arial"/>
                <w:sz w:val="22"/>
                <w:szCs w:val="22"/>
              </w:rPr>
              <w:t>The Principal through Head of School for Visual Arts and Psychology; and directly</w:t>
            </w:r>
            <w:r w:rsidR="007C6D0C">
              <w:rPr>
                <w:rFonts w:ascii="Arial" w:eastAsia="Arial" w:hAnsi="Arial" w:cs="Arial"/>
                <w:sz w:val="22"/>
                <w:szCs w:val="22"/>
              </w:rPr>
              <w:t xml:space="preserve"> to Assistant Head of School (H</w:t>
            </w:r>
            <w:r>
              <w:rPr>
                <w:rFonts w:ascii="Arial" w:eastAsia="Arial" w:hAnsi="Arial" w:cs="Arial"/>
                <w:sz w:val="22"/>
                <w:szCs w:val="22"/>
              </w:rPr>
              <w:t>ead of Visual Arts).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0ED">
        <w:tc>
          <w:tcPr>
            <w:tcW w:w="8522" w:type="dxa"/>
          </w:tcPr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Main Purpose of Job: 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 support the teaching of Design through effective preparation, maintenance and administration.  To give technical support to students and staff.  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0ED">
        <w:tc>
          <w:tcPr>
            <w:tcW w:w="8522" w:type="dxa"/>
          </w:tcPr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Principal Duties &amp; Responsibilities: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 Preparation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 materials for use in teaching – wood/metal/plastics etc.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 studios and equipment – setting up for practical demonstrations and student use.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 displays and exhibitions- in workshop/open evenings/end of year/around college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  Maintenance and organisation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 hand and electric tools and workshop machinery including routine servicing and repair of equipment and dealing with supply/servicing companies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 the workshop and teaching space to enable effective teaching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 the laser cutter and 3D printer for day to day use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 storage and disposal of student work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 Administration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Of reprographic and filing duties  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Ordering and maintaining stock check of equipment and materials for the department, dealing with suppliers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Producing instruction sheets for example –  ‘safe use of adhesives’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 laser cutting and 3D printing jobs</w:t>
            </w:r>
          </w:p>
          <w:p w:rsidR="007240ED" w:rsidRDefault="007240ED">
            <w:pPr>
              <w:ind w:left="1388"/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 Support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Assisting students with practical tasks during modelling and making stages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Assisting with laser cutting student work and sending jobs to print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Assisting with the 3D printer and sending jobs to print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Advising students and tutors on technical matters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Supervising students for computer based programmes e.g. Corel Draw, Google sketch up etc.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 Instruction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Instructing on the day to day safe use of workshop equipment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Demonstrating technical processes and techniques with a range of materials and equipment- wood/metal/plastics/plaster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etc</w:t>
            </w:r>
            <w:proofErr w:type="spellEnd"/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Instructing on  correct software usage – Corel/AutoCAD/Sketch Up </w:t>
            </w:r>
          </w:p>
          <w:p w:rsidR="007240ED" w:rsidRDefault="007240ED">
            <w:pPr>
              <w:ind w:left="58"/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Ensuring compliance with health and safety regulations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Assisting students on machine inductions for Health and Safety certificates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Instruction on save use of hand tools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Maintaining and updating COSHH data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Checks of machinery, equipment and emergency stops and signage to ensure compliance with health and safety regulations </w:t>
            </w:r>
          </w:p>
          <w:p w:rsidR="007240ED" w:rsidRDefault="006940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Dust compliance – routine maintenance of dust extraction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7.  To undertake such other duties as the Principal may request within reason. 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0ED">
        <w:tc>
          <w:tcPr>
            <w:tcW w:w="8522" w:type="dxa"/>
          </w:tcPr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This job description sets out the duties of the post at the time it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was drawn up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.  Such duties may vary from time to time without changing the general character of the duties of the level of responsibility entailed.  Such variations are a common occurrence and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cannot of themselves justify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 re-evaluation of the grading of the post. 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240ED" w:rsidRDefault="0069405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June 2018</w:t>
      </w:r>
    </w:p>
    <w:p w:rsidR="007240ED" w:rsidRDefault="007240ED">
      <w:pPr>
        <w:rPr>
          <w:rFonts w:ascii="Arial" w:eastAsia="Arial" w:hAnsi="Arial" w:cs="Arial"/>
          <w:sz w:val="22"/>
          <w:szCs w:val="22"/>
        </w:rPr>
      </w:pPr>
    </w:p>
    <w:p w:rsidR="007240ED" w:rsidRDefault="007240ED">
      <w:pPr>
        <w:jc w:val="right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240ED">
        <w:tc>
          <w:tcPr>
            <w:tcW w:w="8522" w:type="dxa"/>
            <w:shd w:val="clear" w:color="auto" w:fill="003366"/>
          </w:tcPr>
          <w:p w:rsidR="007240ED" w:rsidRDefault="007240ED">
            <w:pPr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  <w:p w:rsidR="007240ED" w:rsidRDefault="00694053">
            <w:pPr>
              <w:jc w:val="center"/>
              <w:rPr>
                <w:rFonts w:ascii="Tahoma" w:eastAsia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FFFFFF"/>
                <w:sz w:val="22"/>
                <w:szCs w:val="22"/>
              </w:rPr>
              <w:t>Person Specification</w:t>
            </w:r>
          </w:p>
          <w:p w:rsidR="007240ED" w:rsidRDefault="007240ED">
            <w:pPr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</w:tc>
      </w:tr>
      <w:tr w:rsidR="007240ED">
        <w:tc>
          <w:tcPr>
            <w:tcW w:w="8522" w:type="dxa"/>
          </w:tcPr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Job Title: 3D Design Instructor/Technician     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0ED">
        <w:tc>
          <w:tcPr>
            <w:tcW w:w="8522" w:type="dxa"/>
          </w:tcPr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Essential Criteria: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Knowledge required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:rsidR="007240ED" w:rsidRDefault="0069405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Ability to creatively support students individually and in small groups </w:t>
            </w:r>
          </w:p>
          <w:p w:rsidR="007240ED" w:rsidRDefault="0069405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organise and maintain workshop machinery and equipment both traditional and digital</w:t>
            </w:r>
          </w:p>
          <w:p w:rsidR="007240ED" w:rsidRDefault="0069405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Working knowledge (or willingness to learn) of CAD processes – 3D printing/laser cutting. Programmes currently used- Corel draw,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AutoCad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Sketch up and Photoshop</w:t>
            </w:r>
          </w:p>
          <w:p w:rsidR="007240ED" w:rsidRDefault="0069405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Awareness of current health and safety issues in an educational workshop environment </w:t>
            </w:r>
          </w:p>
          <w:p w:rsidR="007240ED" w:rsidRDefault="006940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Experience required </w:t>
            </w:r>
          </w:p>
          <w:p w:rsidR="007240ED" w:rsidRDefault="0069405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Worked in a technical support role with students and staff</w:t>
            </w:r>
          </w:p>
          <w:p w:rsidR="007240ED" w:rsidRDefault="0069405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work as member of a team</w:t>
            </w:r>
          </w:p>
          <w:p w:rsidR="007240ED" w:rsidRDefault="0069405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take initiative once securely in role</w:t>
            </w:r>
          </w:p>
          <w:p w:rsidR="007240ED" w:rsidRDefault="0069405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Organised and reliable, an ability to get the job done</w:t>
            </w:r>
          </w:p>
          <w:p w:rsidR="007240ED" w:rsidRDefault="0069405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Awareness of Health and Safety relevant issues and those particular to this age group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240ED" w:rsidRDefault="007240ED">
      <w:pPr>
        <w:rPr>
          <w:rFonts w:ascii="Arial" w:eastAsia="Arial" w:hAnsi="Arial" w:cs="Arial"/>
          <w:sz w:val="22"/>
          <w:szCs w:val="22"/>
        </w:rPr>
      </w:pPr>
    </w:p>
    <w:p w:rsidR="007240ED" w:rsidRDefault="007240ED">
      <w:pPr>
        <w:jc w:val="center"/>
        <w:rPr>
          <w:rFonts w:ascii="Arial" w:eastAsia="Arial" w:hAnsi="Arial" w:cs="Arial"/>
          <w:color w:val="003366"/>
          <w:sz w:val="22"/>
          <w:szCs w:val="22"/>
        </w:rPr>
      </w:pPr>
    </w:p>
    <w:p w:rsidR="007240ED" w:rsidRDefault="007240ED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240ED">
        <w:tc>
          <w:tcPr>
            <w:tcW w:w="8522" w:type="dxa"/>
            <w:shd w:val="clear" w:color="auto" w:fill="003366"/>
          </w:tcPr>
          <w:p w:rsidR="007240ED" w:rsidRDefault="007240ED">
            <w:pPr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  <w:p w:rsidR="007240ED" w:rsidRDefault="00694053">
            <w:pPr>
              <w:jc w:val="center"/>
              <w:rPr>
                <w:rFonts w:ascii="Tahoma" w:eastAsia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FFFFFF"/>
                <w:sz w:val="22"/>
                <w:szCs w:val="22"/>
              </w:rPr>
              <w:t>Department Information</w:t>
            </w:r>
          </w:p>
          <w:p w:rsidR="007240ED" w:rsidRDefault="007240ED">
            <w:pPr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</w:tc>
      </w:tr>
      <w:tr w:rsidR="007240ED">
        <w:tc>
          <w:tcPr>
            <w:tcW w:w="8522" w:type="dxa"/>
          </w:tcPr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694053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The Visual Arts Department</w:t>
            </w:r>
          </w:p>
          <w:p w:rsidR="007240ED" w:rsidRDefault="007240ED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7240ED" w:rsidRDefault="00694053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Varndean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College offers a broad range of visual arts courses at A level, including fine art, graphic design and 3D design, textiles </w:t>
            </w:r>
            <w:r w:rsidR="00BD26E7">
              <w:rPr>
                <w:rFonts w:ascii="Tahoma" w:eastAsia="Tahoma" w:hAnsi="Tahoma" w:cs="Tahoma"/>
                <w:sz w:val="22"/>
                <w:szCs w:val="22"/>
              </w:rPr>
              <w:t xml:space="preserve">and photography.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International baccalaureate and GCSE Photography and BTEC level 2 courses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are</w:t>
            </w:r>
            <w:r w:rsidR="00BD26E7">
              <w:rPr>
                <w:rFonts w:ascii="Tahoma" w:eastAsia="Tahoma" w:hAnsi="Tahoma" w:cs="Tahoma"/>
                <w:sz w:val="22"/>
                <w:szCs w:val="22"/>
              </w:rPr>
              <w:t xml:space="preserve"> also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offered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in Art &amp; Design.  </w:t>
            </w:r>
          </w:p>
          <w:p w:rsidR="007240ED" w:rsidRDefault="00694053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  <w:p w:rsidR="007240ED" w:rsidRDefault="00694053">
            <w:pPr>
              <w:numPr>
                <w:ilvl w:val="0"/>
                <w:numId w:val="1"/>
              </w:numPr>
              <w:ind w:left="1843" w:firstLine="0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Consistently high pass rates</w:t>
            </w:r>
          </w:p>
          <w:p w:rsidR="007240ED" w:rsidRDefault="00694053">
            <w:pPr>
              <w:numPr>
                <w:ilvl w:val="0"/>
                <w:numId w:val="1"/>
              </w:numPr>
              <w:ind w:left="1843" w:firstLine="0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High standard of student work</w:t>
            </w:r>
          </w:p>
          <w:p w:rsidR="007240ED" w:rsidRDefault="00694053">
            <w:pPr>
              <w:numPr>
                <w:ilvl w:val="0"/>
                <w:numId w:val="1"/>
              </w:numPr>
              <w:ind w:left="1843" w:firstLine="0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Lively and effective teaching</w:t>
            </w:r>
          </w:p>
          <w:p w:rsidR="007240ED" w:rsidRDefault="00694053">
            <w:pPr>
              <w:numPr>
                <w:ilvl w:val="0"/>
                <w:numId w:val="1"/>
              </w:numPr>
              <w:ind w:left="1843" w:firstLine="0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Good progression to further studies</w:t>
            </w:r>
          </w:p>
          <w:p w:rsidR="007240ED" w:rsidRDefault="00694053">
            <w:pPr>
              <w:numPr>
                <w:ilvl w:val="0"/>
                <w:numId w:val="1"/>
              </w:numPr>
              <w:ind w:left="1843" w:firstLine="0"/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Well managed curriculum area</w:t>
            </w:r>
          </w:p>
          <w:p w:rsidR="007240ED" w:rsidRDefault="00694053">
            <w:pPr>
              <w:ind w:left="1843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ab/>
            </w:r>
          </w:p>
          <w:p w:rsidR="007240ED" w:rsidRDefault="00694053">
            <w:pPr>
              <w:tabs>
                <w:tab w:val="left" w:pos="2268"/>
              </w:tabs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ab/>
              <w:t>(OFSTED INSPECTION)</w:t>
            </w: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240ED" w:rsidRDefault="007240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240ED" w:rsidRDefault="007240ED">
      <w:pPr>
        <w:rPr>
          <w:rFonts w:ascii="Arial" w:eastAsia="Arial" w:hAnsi="Arial" w:cs="Arial"/>
        </w:rPr>
      </w:pPr>
    </w:p>
    <w:p w:rsidR="007240ED" w:rsidRDefault="007240ED">
      <w:pPr>
        <w:rPr>
          <w:rFonts w:ascii="Tahoma" w:eastAsia="Tahoma" w:hAnsi="Tahoma" w:cs="Tahoma"/>
          <w:sz w:val="20"/>
          <w:szCs w:val="20"/>
        </w:rPr>
      </w:pPr>
    </w:p>
    <w:sectPr w:rsidR="007240ED">
      <w:pgSz w:w="11906" w:h="16838"/>
      <w:pgMar w:top="993" w:right="1800" w:bottom="851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7B55"/>
    <w:multiLevelType w:val="multilevel"/>
    <w:tmpl w:val="920E8846"/>
    <w:lvl w:ilvl="0">
      <w:start w:val="1"/>
      <w:numFmt w:val="bullet"/>
      <w:lvlText w:val="●"/>
      <w:lvlJc w:val="left"/>
      <w:pPr>
        <w:ind w:left="45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2BC2142"/>
    <w:multiLevelType w:val="multilevel"/>
    <w:tmpl w:val="510EF7E0"/>
    <w:lvl w:ilvl="0">
      <w:start w:val="1"/>
      <w:numFmt w:val="bullet"/>
      <w:lvlText w:val="●"/>
      <w:lvlJc w:val="left"/>
      <w:pPr>
        <w:ind w:left="123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5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9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1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3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5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7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9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20042A8"/>
    <w:multiLevelType w:val="multilevel"/>
    <w:tmpl w:val="B810F652"/>
    <w:lvl w:ilvl="0">
      <w:start w:val="1"/>
      <w:numFmt w:val="bullet"/>
      <w:lvlText w:val="➢"/>
      <w:lvlJc w:val="left"/>
      <w:pPr>
        <w:ind w:left="138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4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ED"/>
    <w:rsid w:val="005B7964"/>
    <w:rsid w:val="00694053"/>
    <w:rsid w:val="007240ED"/>
    <w:rsid w:val="007C6D0C"/>
    <w:rsid w:val="00A36D05"/>
    <w:rsid w:val="00AF7751"/>
    <w:rsid w:val="00B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C496"/>
  <w15:docId w15:val="{CF5E5470-D83A-441E-9E0F-316AE2E5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Varndean College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Rich</dc:creator>
  <cp:lastModifiedBy>Emma Rich</cp:lastModifiedBy>
  <cp:revision>7</cp:revision>
  <dcterms:created xsi:type="dcterms:W3CDTF">2018-07-10T10:15:00Z</dcterms:created>
  <dcterms:modified xsi:type="dcterms:W3CDTF">2018-07-10T10:34:00Z</dcterms:modified>
</cp:coreProperties>
</file>