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column">
              <wp:posOffset>5387340</wp:posOffset>
            </wp:positionH>
            <wp:positionV relativeFrom="paragraph">
              <wp:posOffset>13335</wp:posOffset>
            </wp:positionV>
            <wp:extent cx="1352550" cy="1352550"/>
            <wp:effectExtent l="0" t="0" r="0" b="0"/>
            <wp:wrapTight wrapText="bothSides">
              <wp:wrapPolygon edited="0">
                <wp:start x="0" y="0"/>
                <wp:lineTo x="0" y="21296"/>
                <wp:lineTo x="21296" y="21296"/>
                <wp:lineTo x="2129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pPr>
        <w:keepLines/>
        <w:ind w:right="1134"/>
        <w:rPr>
          <w:rFonts w:ascii="Arial" w:hAnsi="Arial"/>
          <w:snapToGrid w:val="0"/>
          <w:color w:val="000000"/>
          <w:sz w:val="20"/>
        </w:rPr>
      </w:pPr>
    </w:p>
    <w:p>
      <w:pPr>
        <w:keepLines/>
        <w:ind w:right="1134"/>
        <w:rPr>
          <w:rFonts w:ascii="Arial" w:hAnsi="Arial"/>
          <w:snapToGrid w:val="0"/>
          <w:color w:val="000000"/>
          <w:sz w:val="20"/>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Science</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The Faculty</w:t>
      </w:r>
    </w:p>
    <w:p>
      <w:pPr>
        <w:autoSpaceDE w:val="0"/>
        <w:autoSpaceDN w:val="0"/>
        <w:adjustRightInd w:val="0"/>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teaches biology, chemistry and physics as well as the CTEC level 3 course. It is committed to teaching science in a way that inspires our students to become the scientists of tomorrow. We place a strong emphasis on using evidence informed practice to inform our teaching and support decision making.</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Facilities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We have moved into the purpose built new school and the science faculty now has 10 laboratories which are flexible spaces which allow practical and group work to take place. We have an ICT suite with 30 additional laptops and have outstanding resources which enable us to deliver high level practical across all key stages.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Staffing Structure</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MT" w:hAnsi="ArialMT" w:cs="ArialMT"/>
          <w:noProof w:val="0"/>
          <w:szCs w:val="24"/>
          <w:lang w:eastAsia="en-GB"/>
        </w:rPr>
        <w:t>The science faculty has a head of faculty, Mrs Pearson and a head of KS5, KS4 and KS3. The</w:t>
      </w:r>
      <w:r>
        <w:rPr>
          <w:rFonts w:ascii="Arial-BoldMT" w:hAnsi="Arial-BoldMT" w:cs="Arial-BoldMT"/>
          <w:b/>
          <w:bCs/>
          <w:noProof w:val="0"/>
          <w:szCs w:val="24"/>
          <w:lang w:eastAsia="en-GB"/>
        </w:rPr>
        <w:t xml:space="preserve"> </w:t>
      </w:r>
      <w:r>
        <w:rPr>
          <w:rFonts w:ascii="ArialMT" w:hAnsi="ArialMT" w:cs="ArialMT"/>
          <w:noProof w:val="0"/>
          <w:szCs w:val="24"/>
          <w:lang w:eastAsia="en-GB"/>
        </w:rPr>
        <w:t>faculty also has two lead practitioners</w:t>
      </w:r>
      <w:r>
        <w:rPr>
          <w:rFonts w:ascii="ArialMT" w:hAnsi="ArialMT" w:cs="ArialMT"/>
          <w:noProof w:val="0"/>
          <w:szCs w:val="24"/>
          <w:lang w:eastAsia="en-GB"/>
        </w:rPr>
        <w:t xml:space="preserve"> and a member</w:t>
      </w:r>
      <w:r>
        <w:rPr>
          <w:rFonts w:ascii="ArialMT" w:hAnsi="ArialMT" w:cs="ArialMT"/>
          <w:noProof w:val="0"/>
          <w:szCs w:val="24"/>
          <w:lang w:eastAsia="en-GB"/>
        </w:rPr>
        <w:t xml:space="preserve"> of the faculty as a</w:t>
      </w:r>
      <w:r>
        <w:rPr>
          <w:rFonts w:ascii="ArialMT" w:hAnsi="ArialMT" w:cs="ArialMT"/>
          <w:noProof w:val="0"/>
          <w:szCs w:val="24"/>
          <w:lang w:eastAsia="en-GB"/>
        </w:rPr>
        <w:t xml:space="preserve"> Specialist Leader</w:t>
      </w:r>
      <w:r>
        <w:rPr>
          <w:rFonts w:ascii="ArialMT" w:hAnsi="ArialMT" w:cs="ArialMT"/>
          <w:noProof w:val="0"/>
          <w:szCs w:val="24"/>
          <w:lang w:eastAsia="en-GB"/>
        </w:rPr>
        <w:t xml:space="preserve"> in Education. The faculty is also fortunate to have three full time,</w:t>
      </w:r>
      <w:r>
        <w:rPr>
          <w:rFonts w:ascii="Arial-BoldMT" w:hAnsi="Arial-BoldMT" w:cs="Arial-BoldMT"/>
          <w:b/>
          <w:bCs/>
          <w:noProof w:val="0"/>
          <w:szCs w:val="24"/>
          <w:lang w:eastAsia="en-GB"/>
        </w:rPr>
        <w:t xml:space="preserve"> </w:t>
      </w:r>
      <w:r>
        <w:rPr>
          <w:rFonts w:ascii="ArialMT" w:hAnsi="ArialMT" w:cs="ArialMT"/>
          <w:noProof w:val="0"/>
          <w:szCs w:val="24"/>
          <w:lang w:eastAsia="en-GB"/>
        </w:rPr>
        <w:t>subject specific technicians.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Science Curriculum</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Nobel has developed a knowledge based key stage 3 curriculum following the National Curriculum. We value subject knowledge and believe that students learn effectively by being able to learn new ideas by referencing ideas they already know.  At key stage 4 we offer triple and double science following the AQA specification (for double we do Trilogy).</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Each fortnight, our students have 6 hours of science teaching at KS3 and at KS4 double science students have 9 hours and triple scientists have 14 hours. Our KS5 students benefit from 9 hours of teaching from specialist teachers.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Extra-Curricular / Fieldwork</w:t>
      </w:r>
    </w:p>
    <w:p>
      <w:pPr>
        <w:autoSpaceDE w:val="0"/>
        <w:autoSpaceDN w:val="0"/>
        <w:adjustRightInd w:val="0"/>
        <w:jc w:val="both"/>
        <w:rPr>
          <w:rFonts w:ascii="Arial-BoldMT" w:hAnsi="Arial-BoldMT" w:cs="Arial-BoldMT"/>
          <w:b/>
          <w:bCs/>
          <w:noProof w:val="0"/>
          <w:szCs w:val="24"/>
          <w:highlight w:val="yellow"/>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offers a range of trips and visits as well as extra-curricular activities. Our KS5 scientists have the opportunity to go on educational visits to CERN and Whipsnade Zoo. The faculty holds Parents in Science Evenings to engage students and their parents. Our most able students attend the Salters Festival. The faculty has good links with GSK, enjoys National Science and Engineering Week and puts on regular clubs throughout the year for different year groups.</w:t>
      </w:r>
    </w:p>
    <w:p>
      <w:pPr>
        <w:autoSpaceDE w:val="0"/>
        <w:autoSpaceDN w:val="0"/>
        <w:adjustRightInd w:val="0"/>
        <w:jc w:val="both"/>
        <w:rPr>
          <w:rFonts w:ascii="Arial-BoldMT" w:hAnsi="Arial-BoldMT" w:cs="Arial-BoldMT"/>
          <w:b/>
          <w:bCs/>
          <w:noProof w:val="0"/>
          <w:szCs w:val="24"/>
          <w:highlight w:val="yellow"/>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sz w:val="40"/>
          <w:szCs w:val="40"/>
        </w:rPr>
      </w:pPr>
      <w:r>
        <w:rPr>
          <w:rFonts w:ascii="ArialMT" w:hAnsi="ArialMT" w:cs="ArialMT"/>
          <w:noProof w:val="0"/>
          <w:szCs w:val="24"/>
          <w:lang w:eastAsia="en-GB"/>
        </w:rPr>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r>
        <w:rPr>
          <w:rFonts w:ascii="Arial" w:hAnsi="Arial" w:cs="Arial"/>
          <w:sz w:val="40"/>
          <w:szCs w:val="40"/>
        </w:rPr>
        <w:br w:type="page"/>
      </w:r>
    </w:p>
    <w:p>
      <w:pPr>
        <w:rPr>
          <w:rFonts w:ascii="Arial" w:eastAsia="Times New Roman" w:hAnsi="Arial" w:cs="Arial"/>
          <w:b/>
          <w:bCs/>
          <w:noProof w:val="0"/>
          <w:sz w:val="40"/>
          <w:szCs w:val="40"/>
        </w:rPr>
      </w:pPr>
      <w:r>
        <w:rPr>
          <w:lang w:eastAsia="en-GB"/>
        </w:rPr>
        <w:lastRenderedPageBreak/>
        <w:drawing>
          <wp:anchor distT="0" distB="0" distL="114300" distR="114300" simplePos="0" relativeHeight="251659264" behindDoc="1" locked="0" layoutInCell="1" allowOverlap="1">
            <wp:simplePos x="0" y="0"/>
            <wp:positionH relativeFrom="margin">
              <wp:posOffset>5286375</wp:posOffset>
            </wp:positionH>
            <wp:positionV relativeFrom="paragraph">
              <wp:posOffset>-69850</wp:posOffset>
            </wp:positionV>
            <wp:extent cx="1352550" cy="1352550"/>
            <wp:effectExtent l="0" t="0" r="0" b="0"/>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 w:val="22"/>
          <w:szCs w:val="22"/>
          <w:lang w:eastAsia="en-GB"/>
        </w:rPr>
      </w:pPr>
    </w:p>
    <w:p>
      <w:pPr>
        <w:autoSpaceDE w:val="0"/>
        <w:autoSpaceDN w:val="0"/>
        <w:adjustRightInd w:val="0"/>
        <w:jc w:val="both"/>
        <w:rPr>
          <w:rFonts w:ascii="Arial" w:hAnsi="Arial" w:cs="Arial"/>
          <w:b/>
          <w:noProof w:val="0"/>
          <w:szCs w:val="24"/>
          <w:lang w:eastAsia="en-GB"/>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b/>
          <w:szCs w:val="24"/>
        </w:rPr>
        <w:t>Being an NQT at Nobel School</w:t>
      </w:r>
    </w:p>
    <w:p>
      <w:pPr>
        <w:rPr>
          <w:rFonts w:ascii="Arial" w:hAnsi="Arial" w:cs="Arial"/>
          <w:b/>
          <w:szCs w:val="24"/>
        </w:rPr>
      </w:pPr>
    </w:p>
    <w:p>
      <w:pPr>
        <w:rPr>
          <w:rFonts w:ascii="Arial" w:hAnsi="Arial" w:cs="Arial"/>
          <w:szCs w:val="24"/>
        </w:rPr>
      </w:pPr>
      <w:r>
        <w:rPr>
          <w:rFonts w:ascii="Arial" w:hAnsi="Arial" w:cs="Arial"/>
          <w:szCs w:val="24"/>
        </w:rPr>
        <w:t>As you embark on your teaching career as an NQT, you will have a comprehensive induction programme of monitoring and support personalised to meet your professional development needs and to help you meet the requirements for satisfactory completion of the induction period.</w:t>
      </w: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All NQTs can expect:</w:t>
      </w:r>
    </w:p>
    <w:p>
      <w:pPr>
        <w:rPr>
          <w:rFonts w:ascii="Arial" w:hAnsi="Arial" w:cs="Arial"/>
          <w:b/>
          <w:szCs w:val="24"/>
        </w:rPr>
      </w:pP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Half termly professional reviews of progress with the professional mentor (member of Senior Team).</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days; including a residential experience.  This will allow you to meet and network with other NQTs in your subject area.</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pPr>
        <w:numPr>
          <w:ilvl w:val="0"/>
          <w:numId w:val="19"/>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pPr>
        <w:spacing w:after="200" w:line="276" w:lineRule="auto"/>
        <w:ind w:left="360"/>
        <w:contextualSpacing/>
        <w:rPr>
          <w:rFonts w:ascii="Arial" w:hAnsi="Arial" w:cs="Arial"/>
          <w:noProof w:val="0"/>
          <w:szCs w:val="24"/>
          <w:lang w:eastAsia="en-GB"/>
        </w:rPr>
      </w:pPr>
    </w:p>
    <w:p>
      <w:pPr>
        <w:ind w:left="720"/>
        <w:contextualSpacing/>
        <w:rPr>
          <w:rFonts w:ascii="Arial" w:hAnsi="Arial" w:cs="Arial"/>
          <w:noProof w:val="0"/>
          <w:szCs w:val="24"/>
          <w:lang w:eastAsia="en-GB"/>
        </w:rPr>
      </w:pPr>
    </w:p>
    <w:p>
      <w:pPr>
        <w:rPr>
          <w:rFonts w:ascii="Arial" w:hAnsi="Arial" w:cs="Arial"/>
          <w:szCs w:val="24"/>
        </w:rPr>
      </w:pPr>
      <w:r>
        <w:rPr>
          <w:rFonts w:ascii="Arial" w:hAnsi="Arial" w:cs="Arial"/>
          <w:szCs w:val="24"/>
        </w:rPr>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pPr>
        <w:rPr>
          <w:rFonts w:ascii="Arial" w:hAnsi="Arial" w:cs="Arial"/>
          <w:szCs w:val="24"/>
        </w:rPr>
      </w:pPr>
    </w:p>
    <w:p>
      <w:pPr>
        <w:rPr>
          <w:rFonts w:ascii="Arial" w:hAnsi="Arial" w:cs="Arial"/>
          <w:szCs w:val="24"/>
        </w:rPr>
      </w:pPr>
      <w:r>
        <w:rPr>
          <w:rFonts w:ascii="Arial" w:hAnsi="Arial" w:cs="Arial"/>
          <w:szCs w:val="24"/>
        </w:rPr>
        <w:t>Nobel has a strong history of successful NQT induction.  You can be assured that you will receive the very best experience on offer.</w:t>
      </w:r>
    </w:p>
    <w:p>
      <w:pPr>
        <w:autoSpaceDE w:val="0"/>
        <w:autoSpaceDN w:val="0"/>
        <w:adjustRightInd w:val="0"/>
        <w:jc w:val="both"/>
        <w:rPr>
          <w:rFonts w:ascii="Arial" w:hAnsi="Arial" w:cs="Arial"/>
          <w:b/>
          <w:noProof w:val="0"/>
          <w:szCs w:val="24"/>
          <w:lang w:eastAsia="en-GB"/>
        </w:rPr>
      </w:pPr>
      <w:bookmarkStart w:id="0" w:name="_GoBack"/>
      <w:bookmarkEnd w:id="0"/>
      <w:r>
        <w:rPr>
          <w:rFonts w:ascii="Arial" w:hAnsi="Arial" w:cs="Arial"/>
          <w:b/>
          <w:noProof w:val="0"/>
          <w:szCs w:val="24"/>
          <w:lang w:eastAsia="en-GB"/>
        </w:rPr>
        <w:br w:type="page"/>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autoSpaceDE w:val="0"/>
        <w:autoSpaceDN w:val="0"/>
        <w:adjustRightInd w:val="0"/>
        <w:jc w:val="both"/>
        <w:rPr>
          <w:rFonts w:ascii="Arial" w:hAnsi="Arial" w:cs="Arial"/>
          <w:b/>
          <w:noProof w:val="0"/>
          <w:szCs w:val="24"/>
          <w:lang w:eastAsia="en-GB"/>
        </w:rPr>
      </w:pPr>
      <w:r>
        <w:rPr>
          <w:rFonts w:ascii="Arial" w:hAnsi="Arial" w:cs="Arial"/>
          <w:b/>
          <w:szCs w:val="24"/>
        </w:rPr>
        <w:t>Teacher of Science</w:t>
      </w:r>
    </w:p>
    <w:p>
      <w:pPr>
        <w:rPr>
          <w:rFonts w:ascii="Arial" w:hAnsi="Arial" w:cs="Arial"/>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257"/>
      </w:tblGrid>
      <w:tr>
        <w:trPr>
          <w:trHeight w:val="424"/>
        </w:trPr>
        <w:tc>
          <w:tcPr>
            <w:tcW w:w="5228" w:type="dxa"/>
            <w:tcBorders>
              <w:bottom w:val="nil"/>
            </w:tcBorders>
          </w:tcPr>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Essential</w:t>
            </w:r>
          </w:p>
        </w:tc>
        <w:tc>
          <w:tcPr>
            <w:tcW w:w="5257" w:type="dxa"/>
            <w:tcBorders>
              <w:bottom w:val="nil"/>
            </w:tcBorders>
          </w:tcPr>
          <w:p>
            <w:pPr>
              <w:autoSpaceDE w:val="0"/>
              <w:autoSpaceDN w:val="0"/>
              <w:adjustRightInd w:val="0"/>
              <w:rPr>
                <w:rFonts w:ascii="Arial" w:hAnsi="Arial" w:cs="Arial"/>
                <w:b/>
                <w:noProof w:val="0"/>
                <w:szCs w:val="24"/>
                <w:lang w:eastAsia="en-GB"/>
              </w:rPr>
            </w:pPr>
            <w:r>
              <w:rPr>
                <w:rFonts w:ascii="Arial" w:hAnsi="Arial" w:cs="Arial"/>
                <w:b/>
                <w:noProof w:val="0"/>
                <w:szCs w:val="24"/>
                <w:lang w:eastAsia="en-GB"/>
              </w:rPr>
              <w:t>Desirable</w:t>
            </w:r>
          </w:p>
        </w:tc>
      </w:tr>
      <w:tr>
        <w:trPr>
          <w:cantSplit/>
        </w:trPr>
        <w:tc>
          <w:tcPr>
            <w:tcW w:w="10485" w:type="dxa"/>
            <w:gridSpan w:val="2"/>
            <w:shd w:val="pct15" w:color="auto" w:fill="FFFFFF"/>
          </w:tcPr>
          <w:p>
            <w:pPr>
              <w:rPr>
                <w:rFonts w:ascii="Arial" w:hAnsi="Arial" w:cs="Arial"/>
                <w:szCs w:val="24"/>
              </w:rPr>
            </w:pPr>
            <w:r>
              <w:rPr>
                <w:rFonts w:ascii="Arial" w:hAnsi="Arial" w:cs="Arial"/>
                <w:szCs w:val="24"/>
              </w:rPr>
              <w:t>Skills and Experience</w:t>
            </w: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Education to degree level in science plus teaching qualification</w:t>
            </w:r>
          </w:p>
          <w:p>
            <w:pPr>
              <w:rPr>
                <w:rFonts w:ascii="Arial" w:hAnsi="Arial" w:cs="Arial"/>
                <w:szCs w:val="24"/>
              </w:rPr>
            </w:pPr>
          </w:p>
        </w:tc>
        <w:tc>
          <w:tcPr>
            <w:tcW w:w="5257" w:type="dxa"/>
          </w:tcPr>
          <w:p>
            <w:pPr>
              <w:rPr>
                <w:rFonts w:ascii="Arial" w:hAnsi="Arial" w:cs="Arial"/>
                <w:szCs w:val="24"/>
              </w:rPr>
            </w:pPr>
          </w:p>
          <w:p>
            <w:pPr>
              <w:rPr>
                <w:rFonts w:ascii="Arial" w:hAnsi="Arial" w:cs="Arial"/>
                <w:szCs w:val="24"/>
              </w:rPr>
            </w:pP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Evidence of successful initial experience or teaching practice</w:t>
            </w:r>
          </w:p>
          <w:p>
            <w:pPr>
              <w:rPr>
                <w:rFonts w:ascii="Arial" w:hAnsi="Arial" w:cs="Arial"/>
                <w:szCs w:val="24"/>
              </w:rPr>
            </w:pPr>
          </w:p>
        </w:tc>
        <w:tc>
          <w:tcPr>
            <w:tcW w:w="5257" w:type="dxa"/>
          </w:tcPr>
          <w:p>
            <w:pPr>
              <w:rPr>
                <w:rFonts w:ascii="Arial" w:hAnsi="Arial" w:cs="Arial"/>
                <w:szCs w:val="24"/>
              </w:rPr>
            </w:pPr>
          </w:p>
          <w:p>
            <w:pPr>
              <w:rPr>
                <w:rFonts w:ascii="Arial" w:hAnsi="Arial" w:cs="Arial"/>
                <w:szCs w:val="24"/>
              </w:rPr>
            </w:pPr>
            <w:r>
              <w:rPr>
                <w:rFonts w:ascii="Arial" w:hAnsi="Arial" w:cs="Arial"/>
                <w:szCs w:val="24"/>
              </w:rPr>
              <w:t>Teaching practice or experience in a comprehensive/wide ability school</w:t>
            </w: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 xml:space="preserve">Potential expertise in the teaching of  science at </w:t>
            </w:r>
            <w:r>
              <w:rPr>
                <w:rFonts w:ascii="Arial" w:hAnsi="Arial" w:cs="Arial"/>
                <w:i/>
                <w:szCs w:val="24"/>
              </w:rPr>
              <w:t xml:space="preserve">all </w:t>
            </w:r>
            <w:r>
              <w:rPr>
                <w:rFonts w:ascii="Arial" w:hAnsi="Arial" w:cs="Arial"/>
                <w:szCs w:val="24"/>
              </w:rPr>
              <w:t>levels</w:t>
            </w:r>
          </w:p>
          <w:p>
            <w:pPr>
              <w:rPr>
                <w:rFonts w:ascii="Arial" w:hAnsi="Arial" w:cs="Arial"/>
                <w:i/>
                <w:szCs w:val="24"/>
              </w:rPr>
            </w:pPr>
          </w:p>
        </w:tc>
        <w:tc>
          <w:tcPr>
            <w:tcW w:w="5257" w:type="dxa"/>
          </w:tcPr>
          <w:p>
            <w:pPr>
              <w:rPr>
                <w:rFonts w:ascii="Arial" w:hAnsi="Arial" w:cs="Arial"/>
                <w:szCs w:val="24"/>
              </w:rPr>
            </w:pPr>
          </w:p>
          <w:p>
            <w:pPr>
              <w:rPr>
                <w:rFonts w:ascii="Arial" w:hAnsi="Arial" w:cs="Arial"/>
                <w:szCs w:val="24"/>
              </w:rPr>
            </w:pPr>
            <w:r>
              <w:rPr>
                <w:rFonts w:ascii="Arial" w:hAnsi="Arial" w:cs="Arial"/>
                <w:szCs w:val="24"/>
              </w:rPr>
              <w:t>Evidence of involvement in team working to improve practice</w:t>
            </w:r>
          </w:p>
        </w:tc>
      </w:tr>
      <w:tr>
        <w:tc>
          <w:tcPr>
            <w:tcW w:w="5228"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Willingness and ability to participate in extra-curricular activity.</w:t>
            </w:r>
          </w:p>
          <w:p>
            <w:pPr>
              <w:rPr>
                <w:rFonts w:ascii="Arial" w:hAnsi="Arial" w:cs="Arial"/>
                <w:szCs w:val="24"/>
              </w:rPr>
            </w:pPr>
            <w:r>
              <w:rPr>
                <w:rFonts w:ascii="Arial" w:hAnsi="Arial" w:cs="Arial"/>
                <w:szCs w:val="24"/>
              </w:rPr>
              <w:t xml:space="preserve"> </w:t>
            </w:r>
          </w:p>
        </w:tc>
        <w:tc>
          <w:tcPr>
            <w:tcW w:w="5257"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Experience of extra curricular involvement</w:t>
            </w:r>
          </w:p>
        </w:tc>
      </w:tr>
      <w:tr>
        <w:tc>
          <w:tcPr>
            <w:tcW w:w="5228"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 knowledge and understanding of the National Curriculum in science</w:t>
            </w:r>
          </w:p>
          <w:p>
            <w:pPr>
              <w:rPr>
                <w:rFonts w:ascii="Arial" w:hAnsi="Arial" w:cs="Arial"/>
                <w:szCs w:val="24"/>
              </w:rPr>
            </w:pPr>
          </w:p>
        </w:tc>
        <w:tc>
          <w:tcPr>
            <w:tcW w:w="5257"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Experience of the formal assessment of students’ work</w:t>
            </w:r>
          </w:p>
        </w:tc>
      </w:tr>
      <w:tr>
        <w:tc>
          <w:tcPr>
            <w:tcW w:w="5228"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Excellent oral and written communication skills</w:t>
            </w:r>
          </w:p>
          <w:p>
            <w:pPr>
              <w:rPr>
                <w:rFonts w:ascii="Arial" w:hAnsi="Arial" w:cs="Arial"/>
                <w:szCs w:val="24"/>
              </w:rPr>
            </w:pPr>
          </w:p>
        </w:tc>
        <w:tc>
          <w:tcPr>
            <w:tcW w:w="5257"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Good/excellent IT skills</w:t>
            </w:r>
          </w:p>
        </w:tc>
      </w:tr>
      <w:tr>
        <w:trPr>
          <w:cantSplit/>
        </w:trPr>
        <w:tc>
          <w:tcPr>
            <w:tcW w:w="10485" w:type="dxa"/>
            <w:gridSpan w:val="2"/>
            <w:shd w:val="pct15" w:color="auto" w:fill="FFFFFF"/>
          </w:tcPr>
          <w:p>
            <w:pPr>
              <w:rPr>
                <w:rFonts w:ascii="Arial" w:hAnsi="Arial" w:cs="Arial"/>
                <w:szCs w:val="24"/>
              </w:rPr>
            </w:pPr>
            <w:r>
              <w:rPr>
                <w:rFonts w:ascii="Arial" w:hAnsi="Arial" w:cs="Arial"/>
                <w:szCs w:val="24"/>
              </w:rPr>
              <w:t>Personal Qualities</w:t>
            </w: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Commitment to teamwork and collaboration</w:t>
            </w:r>
          </w:p>
          <w:p>
            <w:pPr>
              <w:rPr>
                <w:rFonts w:ascii="Arial" w:hAnsi="Arial" w:cs="Arial"/>
                <w:szCs w:val="24"/>
              </w:rPr>
            </w:pPr>
          </w:p>
        </w:tc>
        <w:tc>
          <w:tcPr>
            <w:tcW w:w="5257" w:type="dxa"/>
          </w:tcPr>
          <w:p>
            <w:pPr>
              <w:rPr>
                <w:rFonts w:ascii="Arial" w:hAnsi="Arial" w:cs="Arial"/>
                <w:szCs w:val="24"/>
              </w:rPr>
            </w:pP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Ability to establish good relationships with students, parents and staff</w:t>
            </w:r>
          </w:p>
          <w:p>
            <w:pPr>
              <w:rPr>
                <w:rFonts w:ascii="Arial" w:hAnsi="Arial" w:cs="Arial"/>
                <w:szCs w:val="24"/>
              </w:rPr>
            </w:pPr>
          </w:p>
        </w:tc>
        <w:tc>
          <w:tcPr>
            <w:tcW w:w="5257" w:type="dxa"/>
          </w:tcPr>
          <w:p>
            <w:pPr>
              <w:rPr>
                <w:rFonts w:ascii="Arial" w:hAnsi="Arial" w:cs="Arial"/>
                <w:szCs w:val="24"/>
              </w:rPr>
            </w:pP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Dependability and sound organisational skills</w:t>
            </w:r>
          </w:p>
          <w:p>
            <w:pPr>
              <w:rPr>
                <w:rFonts w:ascii="Arial" w:hAnsi="Arial" w:cs="Arial"/>
                <w:szCs w:val="24"/>
              </w:rPr>
            </w:pPr>
          </w:p>
        </w:tc>
        <w:tc>
          <w:tcPr>
            <w:tcW w:w="5257" w:type="dxa"/>
          </w:tcPr>
          <w:p>
            <w:pPr>
              <w:rPr>
                <w:rFonts w:ascii="Arial" w:hAnsi="Arial" w:cs="Arial"/>
                <w:szCs w:val="24"/>
              </w:rPr>
            </w:pPr>
          </w:p>
          <w:p>
            <w:pPr>
              <w:rPr>
                <w:rFonts w:ascii="Arial" w:hAnsi="Arial" w:cs="Arial"/>
                <w:szCs w:val="24"/>
              </w:rPr>
            </w:pPr>
            <w:r>
              <w:rPr>
                <w:rFonts w:ascii="Arial" w:hAnsi="Arial" w:cs="Arial"/>
                <w:szCs w:val="24"/>
              </w:rPr>
              <w:t>Good time management</w:t>
            </w: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Enthusiasm and good sense of humour</w:t>
            </w:r>
          </w:p>
          <w:p>
            <w:pPr>
              <w:rPr>
                <w:rFonts w:ascii="Arial" w:hAnsi="Arial" w:cs="Arial"/>
                <w:szCs w:val="24"/>
              </w:rPr>
            </w:pPr>
          </w:p>
        </w:tc>
        <w:tc>
          <w:tcPr>
            <w:tcW w:w="5257" w:type="dxa"/>
          </w:tcPr>
          <w:p>
            <w:pPr>
              <w:rPr>
                <w:rFonts w:ascii="Arial" w:hAnsi="Arial" w:cs="Arial"/>
                <w:szCs w:val="24"/>
              </w:rPr>
            </w:pPr>
          </w:p>
          <w:p>
            <w:pPr>
              <w:rPr>
                <w:rFonts w:ascii="Arial" w:hAnsi="Arial" w:cs="Arial"/>
                <w:szCs w:val="24"/>
              </w:rPr>
            </w:pPr>
            <w:r>
              <w:rPr>
                <w:rFonts w:ascii="Arial" w:hAnsi="Arial" w:cs="Arial"/>
                <w:szCs w:val="24"/>
              </w:rPr>
              <w:t>Perseverance</w:t>
            </w:r>
          </w:p>
        </w:tc>
      </w:tr>
      <w:tr>
        <w:tc>
          <w:tcPr>
            <w:tcW w:w="5228" w:type="dxa"/>
          </w:tcPr>
          <w:p>
            <w:pPr>
              <w:rPr>
                <w:rFonts w:ascii="Arial" w:hAnsi="Arial" w:cs="Arial"/>
                <w:szCs w:val="24"/>
              </w:rPr>
            </w:pPr>
          </w:p>
          <w:p>
            <w:pPr>
              <w:rPr>
                <w:rFonts w:ascii="Arial" w:hAnsi="Arial" w:cs="Arial"/>
                <w:szCs w:val="24"/>
              </w:rPr>
            </w:pPr>
            <w:r>
              <w:rPr>
                <w:rFonts w:ascii="Arial" w:hAnsi="Arial" w:cs="Arial"/>
                <w:szCs w:val="24"/>
              </w:rPr>
              <w:t>Flexibility</w:t>
            </w:r>
          </w:p>
          <w:p>
            <w:pPr>
              <w:rPr>
                <w:rFonts w:ascii="Arial" w:hAnsi="Arial" w:cs="Arial"/>
                <w:szCs w:val="24"/>
              </w:rPr>
            </w:pPr>
          </w:p>
        </w:tc>
        <w:tc>
          <w:tcPr>
            <w:tcW w:w="5257" w:type="dxa"/>
          </w:tcPr>
          <w:p>
            <w:pPr>
              <w:rPr>
                <w:rFonts w:ascii="Arial" w:hAnsi="Arial" w:cs="Arial"/>
                <w:szCs w:val="24"/>
              </w:rPr>
            </w:pPr>
          </w:p>
        </w:tc>
      </w:tr>
    </w:tbl>
    <w:p>
      <w:pPr>
        <w:rPr>
          <w:lang w:eastAsia="en-GB"/>
        </w:rPr>
      </w:pPr>
    </w:p>
    <w:p>
      <w:pPr>
        <w:rPr>
          <w:lang w:eastAsia="en-GB"/>
        </w:rPr>
      </w:pPr>
      <w:r>
        <w:rPr>
          <w:rFonts w:ascii="Times New Roman" w:eastAsia="Times New Roman" w:hAnsi="Times New Roman"/>
          <w:b/>
          <w:bCs/>
          <w:szCs w:val="24"/>
          <w:lang w:eastAsia="en-GB"/>
        </w:rPr>
        <w:drawing>
          <wp:anchor distT="0" distB="0" distL="114300" distR="114300" simplePos="0" relativeHeight="251660288" behindDoc="1" locked="0" layoutInCell="1" allowOverlap="1">
            <wp:simplePos x="0" y="0"/>
            <wp:positionH relativeFrom="margin">
              <wp:posOffset>5290185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autoSpaceDE w:val="0"/>
        <w:autoSpaceDN w:val="0"/>
        <w:adjustRightInd w:val="0"/>
        <w:jc w:val="both"/>
        <w:rPr>
          <w:rFonts w:ascii="Arial" w:hAnsi="Arial" w:cs="Arial"/>
          <w:b/>
          <w:noProof w:val="0"/>
          <w:szCs w:val="24"/>
          <w:lang w:eastAsia="en-GB"/>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5253"/>
      </w:tblGrid>
      <w:tr>
        <w:trPr>
          <w:trHeight w:val="223"/>
        </w:trPr>
        <w:tc>
          <w:tcPr>
            <w:tcW w:w="5255" w:type="dxa"/>
            <w:shd w:val="clear" w:color="auto" w:fill="auto"/>
          </w:tcPr>
          <w:p>
            <w:pPr>
              <w:rPr>
                <w:rFonts w:ascii="Arial" w:hAnsi="Arial" w:cs="Arial"/>
              </w:rPr>
            </w:pPr>
            <w:r>
              <w:rPr>
                <w:rFonts w:ascii="Arial" w:hAnsi="Arial" w:cs="Arial"/>
              </w:rPr>
              <w:t>Job title</w:t>
            </w:r>
          </w:p>
        </w:tc>
        <w:tc>
          <w:tcPr>
            <w:tcW w:w="5253" w:type="dxa"/>
            <w:shd w:val="clear" w:color="auto" w:fill="auto"/>
          </w:tcPr>
          <w:p>
            <w:pPr>
              <w:rPr>
                <w:rFonts w:ascii="Arial" w:hAnsi="Arial" w:cs="Arial"/>
              </w:rPr>
            </w:pPr>
            <w:r>
              <w:rPr>
                <w:rFonts w:ascii="Arial" w:hAnsi="Arial" w:cs="Arial"/>
              </w:rPr>
              <w:t xml:space="preserve">Teacher </w:t>
            </w:r>
          </w:p>
        </w:tc>
      </w:tr>
      <w:tr>
        <w:trPr>
          <w:trHeight w:val="223"/>
        </w:trPr>
        <w:tc>
          <w:tcPr>
            <w:tcW w:w="5255" w:type="dxa"/>
            <w:shd w:val="clear" w:color="auto" w:fill="auto"/>
          </w:tcPr>
          <w:p>
            <w:pPr>
              <w:rPr>
                <w:rFonts w:ascii="Arial" w:hAnsi="Arial" w:cs="Arial"/>
              </w:rPr>
            </w:pPr>
            <w:r>
              <w:rPr>
                <w:rFonts w:ascii="Arial" w:hAnsi="Arial" w:cs="Arial"/>
              </w:rPr>
              <w:t>Publication date</w:t>
            </w:r>
          </w:p>
        </w:tc>
        <w:tc>
          <w:tcPr>
            <w:tcW w:w="5253" w:type="dxa"/>
            <w:shd w:val="clear" w:color="auto" w:fill="auto"/>
          </w:tcPr>
          <w:p>
            <w:pPr>
              <w:rPr>
                <w:rFonts w:ascii="Arial" w:hAnsi="Arial" w:cs="Arial"/>
              </w:rPr>
            </w:pPr>
            <w:r>
              <w:rPr>
                <w:rFonts w:ascii="Arial" w:hAnsi="Arial" w:cs="Arial"/>
              </w:rPr>
              <w:t>January 2017</w:t>
            </w:r>
          </w:p>
        </w:tc>
      </w:tr>
      <w:tr>
        <w:trPr>
          <w:trHeight w:val="223"/>
        </w:trPr>
        <w:tc>
          <w:tcPr>
            <w:tcW w:w="5255" w:type="dxa"/>
            <w:shd w:val="clear" w:color="auto" w:fill="auto"/>
          </w:tcPr>
          <w:p>
            <w:pPr>
              <w:rPr>
                <w:rFonts w:ascii="Arial" w:hAnsi="Arial" w:cs="Arial"/>
              </w:rPr>
            </w:pPr>
            <w:r>
              <w:rPr>
                <w:rFonts w:ascii="Arial" w:hAnsi="Arial" w:cs="Arial"/>
              </w:rPr>
              <w:t>Postholder’s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Authorising officer’s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Reviewer</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 date</w:t>
            </w:r>
          </w:p>
        </w:tc>
        <w:tc>
          <w:tcPr>
            <w:tcW w:w="5253" w:type="dxa"/>
            <w:shd w:val="clear" w:color="auto" w:fill="auto"/>
          </w:tcPr>
          <w:p>
            <w:pPr>
              <w:rPr>
                <w:rFonts w:ascii="Arial" w:hAnsi="Arial" w:cs="Arial"/>
              </w:rPr>
            </w:pPr>
            <w:r>
              <w:rPr>
                <w:rFonts w:ascii="Arial" w:hAnsi="Arial" w:cs="Arial"/>
              </w:rPr>
              <w:t>January 2017</w:t>
            </w:r>
          </w:p>
        </w:tc>
      </w:tr>
      <w:tr>
        <w:trPr>
          <w:trHeight w:val="223"/>
        </w:trPr>
        <w:tc>
          <w:tcPr>
            <w:tcW w:w="5255" w:type="dxa"/>
            <w:shd w:val="clear" w:color="auto" w:fill="auto"/>
          </w:tcPr>
          <w:p>
            <w:pPr>
              <w:rPr>
                <w:rFonts w:ascii="Arial" w:hAnsi="Arial" w:cs="Arial"/>
              </w:rPr>
            </w:pPr>
            <w:r>
              <w:rPr>
                <w:rFonts w:ascii="Arial" w:hAnsi="Arial" w:cs="Arial"/>
              </w:rPr>
              <w:t>Status</w:t>
            </w:r>
          </w:p>
        </w:tc>
        <w:tc>
          <w:tcPr>
            <w:tcW w:w="5253" w:type="dxa"/>
            <w:shd w:val="clear" w:color="auto" w:fill="auto"/>
          </w:tcPr>
          <w:p>
            <w:pPr>
              <w:rPr>
                <w:rFonts w:ascii="Arial" w:hAnsi="Arial" w:cs="Arial"/>
              </w:rPr>
            </w:pPr>
            <w:r>
              <w:rPr>
                <w:rFonts w:ascii="Arial" w:hAnsi="Arial" w:cs="Arial"/>
              </w:rPr>
              <w:t>Generic</w:t>
            </w:r>
          </w:p>
        </w:tc>
      </w:tr>
      <w:tr>
        <w:trPr>
          <w:trHeight w:val="223"/>
        </w:trPr>
        <w:tc>
          <w:tcPr>
            <w:tcW w:w="5255" w:type="dxa"/>
            <w:shd w:val="clear" w:color="auto" w:fill="auto"/>
          </w:tcPr>
          <w:p>
            <w:pPr>
              <w:rPr>
                <w:rFonts w:ascii="Arial" w:hAnsi="Arial" w:cs="Arial"/>
                <w:bCs/>
              </w:rPr>
            </w:pPr>
            <w:r>
              <w:rPr>
                <w:rFonts w:ascii="Arial" w:hAnsi="Arial" w:cs="Arial"/>
                <w:bCs/>
              </w:rPr>
              <w:t>Salary</w:t>
            </w:r>
          </w:p>
        </w:tc>
        <w:tc>
          <w:tcPr>
            <w:tcW w:w="5253" w:type="dxa"/>
            <w:shd w:val="clear" w:color="auto" w:fill="auto"/>
          </w:tcPr>
          <w:p>
            <w:pPr>
              <w:rPr>
                <w:rFonts w:ascii="Arial" w:hAnsi="Arial" w:cs="Arial"/>
              </w:rPr>
            </w:pPr>
            <w:r>
              <w:rPr>
                <w:rFonts w:ascii="Arial" w:hAnsi="Arial" w:cs="Arial"/>
              </w:rPr>
              <w:t>MPS</w:t>
            </w:r>
          </w:p>
        </w:tc>
      </w:tr>
    </w:tbl>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trPr>
          <w:trHeight w:val="420"/>
          <w:tblHeader/>
        </w:trPr>
        <w:tc>
          <w:tcPr>
            <w:tcW w:w="1951"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Director of Learning; Assistant Director of Learning;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pPr>
              <w:numPr>
                <w:ilvl w:val="0"/>
                <w:numId w:val="11"/>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276"/>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11"/>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11"/>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pPr>
              <w:numPr>
                <w:ilvl w:val="0"/>
                <w:numId w:val="11"/>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Assessment</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subject/faculty monitoring of student assessment and keep DOLs, HOYs &amp; Form tutors informed about student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pPr>
        <w:autoSpaceDE w:val="0"/>
        <w:autoSpaceDN w:val="0"/>
        <w:adjustRightInd w:val="0"/>
        <w:jc w:val="both"/>
        <w:rPr>
          <w:rFonts w:ascii="Arial" w:hAnsi="Arial" w:cs="Arial"/>
          <w:color w:val="FFFFFF"/>
          <w:sz w:val="32"/>
          <w:szCs w:val="32"/>
        </w:rPr>
      </w:pPr>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9"/>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8"/>
  </w:num>
  <w:num w:numId="14">
    <w:abstractNumId w:val="1"/>
  </w:num>
  <w:num w:numId="15">
    <w:abstractNumId w:val="17"/>
  </w:num>
  <w:num w:numId="16">
    <w:abstractNumId w:val="12"/>
  </w:num>
  <w:num w:numId="17">
    <w:abstractNumId w:val="2"/>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C26E-1E3F-4281-ADC2-4654A0EE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25FAB267</Template>
  <TotalTime>25</TotalTime>
  <Pages>5</Pages>
  <Words>1405</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9603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10</cp:revision>
  <cp:lastPrinted>2017-05-26T11:40:00Z</cp:lastPrinted>
  <dcterms:created xsi:type="dcterms:W3CDTF">2018-04-18T10:24:00Z</dcterms:created>
  <dcterms:modified xsi:type="dcterms:W3CDTF">2018-04-30T11:58:00Z</dcterms:modified>
</cp:coreProperties>
</file>