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A" w:rsidRPr="004E0ED8" w:rsidRDefault="004A5348" w:rsidP="004E0ED8">
      <w:pPr>
        <w:pStyle w:val="Body"/>
        <w:ind w:right="261"/>
        <w:jc w:val="center"/>
        <w:rPr>
          <w:rFonts w:eastAsia="Calibri"/>
          <w:b/>
          <w:bCs/>
          <w:iCs/>
          <w:sz w:val="28"/>
          <w:szCs w:val="28"/>
        </w:rPr>
      </w:pPr>
      <w:r>
        <w:rPr>
          <w:rFonts w:eastAsia="Calibri"/>
          <w:b/>
          <w:bCs/>
          <w:iCs/>
          <w:sz w:val="28"/>
          <w:szCs w:val="28"/>
        </w:rPr>
        <w:t xml:space="preserve">The </w:t>
      </w:r>
      <w:bookmarkStart w:id="0" w:name="_GoBack"/>
      <w:bookmarkEnd w:id="0"/>
      <w:r w:rsidR="004E0ED8" w:rsidRPr="004E0ED8">
        <w:rPr>
          <w:rFonts w:eastAsia="Calibri"/>
          <w:b/>
          <w:bCs/>
          <w:iCs/>
          <w:sz w:val="28"/>
          <w:szCs w:val="28"/>
        </w:rPr>
        <w:t>Growth Company</w:t>
      </w:r>
    </w:p>
    <w:p w:rsidR="004E0ED8" w:rsidRPr="004E0ED8" w:rsidRDefault="00E751E0" w:rsidP="004E0ED8">
      <w:pPr>
        <w:pStyle w:val="Body"/>
        <w:ind w:right="261"/>
        <w:jc w:val="center"/>
        <w:rPr>
          <w:rFonts w:eastAsia="Calibri"/>
          <w:b/>
          <w:bCs/>
          <w:iCs/>
          <w:sz w:val="28"/>
          <w:szCs w:val="28"/>
        </w:rPr>
      </w:pPr>
      <w:r>
        <w:rPr>
          <w:rFonts w:eastAsia="Calibri"/>
          <w:b/>
          <w:bCs/>
          <w:iCs/>
          <w:sz w:val="28"/>
          <w:szCs w:val="28"/>
        </w:rPr>
        <w:t>Role Profile</w:t>
      </w:r>
    </w:p>
    <w:p w:rsidR="004E0ED8" w:rsidRDefault="004E0ED8" w:rsidP="00A6609A">
      <w:pPr>
        <w:pStyle w:val="Body"/>
        <w:ind w:left="142" w:right="261" w:hanging="108"/>
        <w:jc w:val="both"/>
        <w:rPr>
          <w:rFonts w:eastAsia="Calibri"/>
          <w:b/>
          <w:bCs/>
          <w:i/>
          <w:iCs/>
          <w:sz w:val="14"/>
          <w:szCs w:val="14"/>
        </w:rPr>
      </w:pPr>
    </w:p>
    <w:tbl>
      <w:tblPr>
        <w:tblW w:w="10349" w:type="dxa"/>
        <w:tblInd w:w="-20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320"/>
        <w:gridCol w:w="2926"/>
        <w:gridCol w:w="2268"/>
        <w:gridCol w:w="2835"/>
      </w:tblGrid>
      <w:tr w:rsidR="005A6F6E" w:rsidRPr="00D54364" w:rsidTr="00E5498E">
        <w:trPr>
          <w:trHeight w:val="377"/>
        </w:trPr>
        <w:tc>
          <w:tcPr>
            <w:tcW w:w="2320" w:type="dxa"/>
            <w:tcBorders>
              <w:bottom w:val="single" w:sz="4" w:space="0" w:color="auto"/>
              <w:right w:val="single" w:sz="4" w:space="0" w:color="auto"/>
            </w:tcBorders>
            <w:shd w:val="clear" w:color="auto" w:fill="auto"/>
            <w:tcMar>
              <w:top w:w="80" w:type="dxa"/>
              <w:left w:w="80" w:type="dxa"/>
              <w:bottom w:w="80" w:type="dxa"/>
              <w:right w:w="80" w:type="dxa"/>
            </w:tcMar>
            <w:vAlign w:val="center"/>
          </w:tcPr>
          <w:p w:rsidR="005A6F6E" w:rsidRPr="00D54364" w:rsidRDefault="005A6F6E" w:rsidP="00841F97">
            <w:pPr>
              <w:tabs>
                <w:tab w:val="left" w:pos="2189"/>
                <w:tab w:val="left" w:pos="6300"/>
              </w:tabs>
              <w:rPr>
                <w:rFonts w:ascii="Arial" w:hAnsi="Arial" w:cs="Arial"/>
                <w:b/>
                <w:sz w:val="22"/>
                <w:szCs w:val="22"/>
                <w:lang w:val="en-GB"/>
              </w:rPr>
            </w:pPr>
            <w:r w:rsidRPr="00D54364">
              <w:rPr>
                <w:rFonts w:ascii="Arial" w:hAnsi="Arial" w:cs="Arial"/>
                <w:b/>
                <w:sz w:val="22"/>
                <w:szCs w:val="22"/>
                <w:lang w:val="en-GB"/>
              </w:rPr>
              <w:t>Job Title:</w:t>
            </w:r>
          </w:p>
        </w:tc>
        <w:tc>
          <w:tcPr>
            <w:tcW w:w="2926" w:type="dxa"/>
            <w:tcBorders>
              <w:bottom w:val="single" w:sz="4" w:space="0" w:color="auto"/>
              <w:right w:val="single" w:sz="4" w:space="0" w:color="auto"/>
            </w:tcBorders>
            <w:shd w:val="clear" w:color="auto" w:fill="auto"/>
            <w:vAlign w:val="center"/>
          </w:tcPr>
          <w:p w:rsidR="005A6F6E" w:rsidRPr="00D54364" w:rsidRDefault="005B4872" w:rsidP="00841F97">
            <w:pPr>
              <w:tabs>
                <w:tab w:val="left" w:pos="2189"/>
                <w:tab w:val="left" w:pos="6300"/>
              </w:tabs>
              <w:rPr>
                <w:rFonts w:ascii="Arial" w:hAnsi="Arial" w:cs="Arial"/>
                <w:b/>
                <w:sz w:val="22"/>
                <w:szCs w:val="22"/>
                <w:lang w:val="en-GB"/>
              </w:rPr>
            </w:pPr>
            <w:r>
              <w:rPr>
                <w:rFonts w:ascii="Arial" w:hAnsi="Arial" w:cs="Arial"/>
                <w:sz w:val="22"/>
                <w:szCs w:val="22"/>
                <w:lang w:val="en-GB"/>
              </w:rPr>
              <w:t>Learning Support Manager</w:t>
            </w:r>
          </w:p>
        </w:tc>
        <w:tc>
          <w:tcPr>
            <w:tcW w:w="2268" w:type="dxa"/>
            <w:tcBorders>
              <w:left w:val="single" w:sz="4" w:space="0" w:color="auto"/>
              <w:bottom w:val="single" w:sz="4" w:space="0" w:color="auto"/>
            </w:tcBorders>
            <w:shd w:val="clear" w:color="auto" w:fill="auto"/>
            <w:vAlign w:val="center"/>
          </w:tcPr>
          <w:p w:rsidR="005A6F6E" w:rsidRPr="00D54364" w:rsidRDefault="005A6F6E" w:rsidP="00841F97">
            <w:pPr>
              <w:tabs>
                <w:tab w:val="left" w:pos="2189"/>
                <w:tab w:val="left" w:pos="6300"/>
              </w:tabs>
              <w:rPr>
                <w:rFonts w:ascii="Arial" w:hAnsi="Arial" w:cs="Arial"/>
                <w:b/>
                <w:sz w:val="22"/>
                <w:szCs w:val="22"/>
                <w:lang w:val="en-GB"/>
              </w:rPr>
            </w:pPr>
            <w:r w:rsidRPr="00D54364">
              <w:rPr>
                <w:rFonts w:ascii="Arial" w:hAnsi="Arial" w:cs="Arial"/>
                <w:b/>
                <w:sz w:val="22"/>
                <w:szCs w:val="22"/>
                <w:lang w:val="en-GB"/>
              </w:rPr>
              <w:t xml:space="preserve">Date: </w:t>
            </w:r>
          </w:p>
        </w:tc>
        <w:tc>
          <w:tcPr>
            <w:tcW w:w="2835" w:type="dxa"/>
            <w:tcBorders>
              <w:left w:val="single" w:sz="4" w:space="0" w:color="auto"/>
              <w:bottom w:val="single" w:sz="4" w:space="0" w:color="auto"/>
            </w:tcBorders>
            <w:shd w:val="clear" w:color="auto" w:fill="auto"/>
            <w:vAlign w:val="center"/>
          </w:tcPr>
          <w:p w:rsidR="005A6F6E" w:rsidRPr="00D54364" w:rsidRDefault="005A6F6E" w:rsidP="00841F97">
            <w:pPr>
              <w:tabs>
                <w:tab w:val="left" w:pos="2189"/>
                <w:tab w:val="left" w:pos="6300"/>
              </w:tabs>
              <w:rPr>
                <w:rFonts w:ascii="Arial" w:hAnsi="Arial" w:cs="Arial"/>
                <w:b/>
                <w:sz w:val="22"/>
                <w:szCs w:val="22"/>
                <w:lang w:val="en-GB"/>
              </w:rPr>
            </w:pPr>
            <w:r>
              <w:rPr>
                <w:rFonts w:ascii="Arial" w:hAnsi="Arial" w:cs="Arial"/>
                <w:sz w:val="22"/>
                <w:szCs w:val="22"/>
                <w:lang w:val="en-GB"/>
              </w:rPr>
              <w:t xml:space="preserve"> </w:t>
            </w:r>
            <w:r w:rsidR="005B4872">
              <w:rPr>
                <w:rFonts w:ascii="Arial" w:hAnsi="Arial" w:cs="Arial"/>
                <w:sz w:val="22"/>
                <w:szCs w:val="22"/>
                <w:lang w:val="en-GB"/>
              </w:rPr>
              <w:t>September 2017</w:t>
            </w:r>
          </w:p>
        </w:tc>
      </w:tr>
      <w:tr w:rsidR="005A6F6E" w:rsidRPr="00D54364" w:rsidTr="004968F9">
        <w:trPr>
          <w:trHeight w:val="385"/>
        </w:trPr>
        <w:tc>
          <w:tcPr>
            <w:tcW w:w="2320" w:type="dxa"/>
            <w:tcBorders>
              <w:top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A6F6E" w:rsidRPr="00D54364" w:rsidRDefault="005A6F6E" w:rsidP="00841F97">
            <w:pPr>
              <w:tabs>
                <w:tab w:val="left" w:pos="2047"/>
                <w:tab w:val="left" w:pos="5589"/>
                <w:tab w:val="left" w:pos="6300"/>
                <w:tab w:val="left" w:pos="6583"/>
              </w:tabs>
              <w:rPr>
                <w:rFonts w:ascii="Arial" w:hAnsi="Arial" w:cs="Arial"/>
                <w:b/>
                <w:sz w:val="22"/>
                <w:szCs w:val="22"/>
                <w:lang w:val="en-GB"/>
              </w:rPr>
            </w:pPr>
            <w:r w:rsidRPr="00D54364">
              <w:rPr>
                <w:rFonts w:ascii="Arial" w:hAnsi="Arial" w:cs="Arial"/>
                <w:b/>
                <w:sz w:val="22"/>
                <w:szCs w:val="22"/>
                <w:lang w:val="en-GB"/>
              </w:rPr>
              <w:t xml:space="preserve">Reporting Line: </w:t>
            </w:r>
          </w:p>
        </w:tc>
        <w:tc>
          <w:tcPr>
            <w:tcW w:w="2926" w:type="dxa"/>
            <w:tcBorders>
              <w:top w:val="single" w:sz="4" w:space="0" w:color="auto"/>
              <w:bottom w:val="single" w:sz="4" w:space="0" w:color="auto"/>
              <w:right w:val="single" w:sz="4" w:space="0" w:color="auto"/>
            </w:tcBorders>
            <w:shd w:val="clear" w:color="auto" w:fill="auto"/>
            <w:vAlign w:val="center"/>
          </w:tcPr>
          <w:p w:rsidR="005A6F6E" w:rsidRPr="00D54364" w:rsidRDefault="005B4872" w:rsidP="00841F97">
            <w:pPr>
              <w:tabs>
                <w:tab w:val="left" w:pos="2047"/>
                <w:tab w:val="left" w:pos="5589"/>
                <w:tab w:val="left" w:pos="6300"/>
                <w:tab w:val="left" w:pos="6583"/>
              </w:tabs>
              <w:rPr>
                <w:rFonts w:ascii="Arial" w:hAnsi="Arial" w:cs="Arial"/>
                <w:b/>
                <w:sz w:val="22"/>
                <w:szCs w:val="22"/>
                <w:lang w:val="en-GB"/>
              </w:rPr>
            </w:pPr>
            <w:r>
              <w:rPr>
                <w:rFonts w:ascii="Arial" w:hAnsi="Arial" w:cs="Arial"/>
                <w:sz w:val="22"/>
                <w:szCs w:val="22"/>
                <w:lang w:val="en-GB"/>
              </w:rPr>
              <w:t>Director of Learning</w:t>
            </w:r>
          </w:p>
        </w:tc>
        <w:tc>
          <w:tcPr>
            <w:tcW w:w="2268" w:type="dxa"/>
            <w:tcBorders>
              <w:top w:val="single" w:sz="4" w:space="0" w:color="auto"/>
              <w:left w:val="single" w:sz="4" w:space="0" w:color="auto"/>
              <w:bottom w:val="single" w:sz="4" w:space="0" w:color="auto"/>
            </w:tcBorders>
            <w:shd w:val="clear" w:color="auto" w:fill="auto"/>
            <w:vAlign w:val="center"/>
          </w:tcPr>
          <w:p w:rsidR="005A6F6E" w:rsidRPr="00D54364" w:rsidRDefault="005A6F6E" w:rsidP="00841F97">
            <w:pPr>
              <w:tabs>
                <w:tab w:val="left" w:pos="2047"/>
                <w:tab w:val="left" w:pos="5589"/>
                <w:tab w:val="left" w:pos="6300"/>
                <w:tab w:val="left" w:pos="6583"/>
              </w:tabs>
              <w:rPr>
                <w:rFonts w:ascii="Arial" w:hAnsi="Arial" w:cs="Arial"/>
                <w:b/>
                <w:sz w:val="22"/>
                <w:szCs w:val="22"/>
                <w:lang w:val="en-GB"/>
              </w:rPr>
            </w:pPr>
            <w:r w:rsidRPr="00D54364">
              <w:rPr>
                <w:rFonts w:ascii="Arial" w:hAnsi="Arial" w:cs="Arial"/>
                <w:b/>
                <w:sz w:val="22"/>
                <w:szCs w:val="22"/>
                <w:lang w:val="en-GB"/>
              </w:rPr>
              <w:t>Job Level:</w:t>
            </w:r>
          </w:p>
        </w:tc>
        <w:tc>
          <w:tcPr>
            <w:tcW w:w="2835" w:type="dxa"/>
            <w:tcBorders>
              <w:top w:val="single" w:sz="4" w:space="0" w:color="auto"/>
              <w:left w:val="single" w:sz="4" w:space="0" w:color="auto"/>
              <w:bottom w:val="single" w:sz="4" w:space="0" w:color="auto"/>
            </w:tcBorders>
            <w:shd w:val="clear" w:color="auto" w:fill="auto"/>
            <w:vAlign w:val="center"/>
          </w:tcPr>
          <w:p w:rsidR="005A6F6E" w:rsidRPr="006E069B" w:rsidRDefault="005A6F6E" w:rsidP="005B4872">
            <w:pPr>
              <w:tabs>
                <w:tab w:val="left" w:pos="2047"/>
                <w:tab w:val="left" w:pos="5589"/>
                <w:tab w:val="left" w:pos="6300"/>
                <w:tab w:val="left" w:pos="6583"/>
              </w:tabs>
              <w:rPr>
                <w:rFonts w:ascii="Arial" w:hAnsi="Arial" w:cs="Arial"/>
                <w:b/>
                <w:sz w:val="22"/>
                <w:szCs w:val="22"/>
                <w:lang w:val="en-GB"/>
              </w:rPr>
            </w:pPr>
            <w:r w:rsidRPr="006E069B">
              <w:rPr>
                <w:rFonts w:ascii="Arial" w:hAnsi="Arial" w:cs="Arial"/>
                <w:sz w:val="22"/>
                <w:szCs w:val="22"/>
                <w:lang w:val="en-GB"/>
              </w:rPr>
              <w:t xml:space="preserve"> </w:t>
            </w:r>
            <w:r w:rsidR="00357995">
              <w:rPr>
                <w:rFonts w:ascii="Arial" w:hAnsi="Arial" w:cs="Arial"/>
                <w:sz w:val="22"/>
                <w:szCs w:val="22"/>
                <w:lang w:val="en-GB"/>
              </w:rPr>
              <w:t>14</w:t>
            </w:r>
          </w:p>
        </w:tc>
      </w:tr>
      <w:tr w:rsidR="005A6F6E" w:rsidRPr="00D54364" w:rsidTr="004968F9">
        <w:trPr>
          <w:trHeight w:val="344"/>
        </w:trPr>
        <w:tc>
          <w:tcPr>
            <w:tcW w:w="2320" w:type="dxa"/>
            <w:tcBorders>
              <w:top w:val="single" w:sz="4" w:space="0" w:color="auto"/>
              <w:right w:val="single" w:sz="4" w:space="0" w:color="auto"/>
            </w:tcBorders>
            <w:shd w:val="clear" w:color="auto" w:fill="auto"/>
            <w:tcMar>
              <w:top w:w="80" w:type="dxa"/>
              <w:left w:w="80" w:type="dxa"/>
              <w:bottom w:w="80" w:type="dxa"/>
              <w:right w:w="80" w:type="dxa"/>
            </w:tcMar>
            <w:vAlign w:val="center"/>
          </w:tcPr>
          <w:p w:rsidR="005A6F6E" w:rsidRPr="00D54364" w:rsidRDefault="005A6F6E" w:rsidP="00841F97">
            <w:pPr>
              <w:tabs>
                <w:tab w:val="left" w:pos="2047"/>
                <w:tab w:val="left" w:pos="5589"/>
                <w:tab w:val="left" w:pos="6300"/>
                <w:tab w:val="left" w:pos="6583"/>
              </w:tabs>
              <w:rPr>
                <w:rFonts w:ascii="Arial" w:hAnsi="Arial" w:cs="Arial"/>
                <w:b/>
                <w:sz w:val="22"/>
                <w:szCs w:val="22"/>
                <w:lang w:val="en-GB"/>
              </w:rPr>
            </w:pPr>
            <w:r w:rsidRPr="00D54364">
              <w:rPr>
                <w:rFonts w:ascii="Arial" w:hAnsi="Arial" w:cs="Arial"/>
                <w:b/>
                <w:sz w:val="22"/>
                <w:szCs w:val="22"/>
                <w:lang w:val="en-GB"/>
              </w:rPr>
              <w:t>Department:</w:t>
            </w:r>
          </w:p>
        </w:tc>
        <w:tc>
          <w:tcPr>
            <w:tcW w:w="2926" w:type="dxa"/>
            <w:tcBorders>
              <w:top w:val="single" w:sz="4" w:space="0" w:color="auto"/>
              <w:right w:val="single" w:sz="4" w:space="0" w:color="auto"/>
            </w:tcBorders>
            <w:shd w:val="clear" w:color="auto" w:fill="auto"/>
            <w:vAlign w:val="center"/>
          </w:tcPr>
          <w:p w:rsidR="005A6F6E" w:rsidRPr="00731336" w:rsidRDefault="005A6F6E" w:rsidP="00841F97">
            <w:pPr>
              <w:tabs>
                <w:tab w:val="left" w:pos="2047"/>
                <w:tab w:val="left" w:pos="5589"/>
                <w:tab w:val="left" w:pos="6300"/>
                <w:tab w:val="left" w:pos="6583"/>
              </w:tabs>
              <w:rPr>
                <w:rFonts w:ascii="Arial" w:hAnsi="Arial" w:cs="Arial"/>
                <w:sz w:val="22"/>
                <w:szCs w:val="22"/>
                <w:lang w:val="en-GB"/>
              </w:rPr>
            </w:pPr>
            <w:r w:rsidRPr="00D54364">
              <w:rPr>
                <w:rFonts w:ascii="Arial" w:hAnsi="Arial" w:cs="Arial"/>
                <w:sz w:val="22"/>
                <w:szCs w:val="22"/>
                <w:bdr w:val="none" w:sz="0" w:space="0" w:color="auto" w:frame="1"/>
                <w:lang w:val="en-GB"/>
              </w:rPr>
              <w:t>The Skills Company</w:t>
            </w:r>
          </w:p>
        </w:tc>
        <w:tc>
          <w:tcPr>
            <w:tcW w:w="2268" w:type="dxa"/>
            <w:tcBorders>
              <w:top w:val="single" w:sz="4" w:space="0" w:color="auto"/>
              <w:left w:val="single" w:sz="4" w:space="0" w:color="auto"/>
            </w:tcBorders>
            <w:shd w:val="clear" w:color="auto" w:fill="auto"/>
            <w:vAlign w:val="center"/>
          </w:tcPr>
          <w:p w:rsidR="005A6F6E" w:rsidRPr="00D54364" w:rsidRDefault="005A6F6E" w:rsidP="00841F97">
            <w:pPr>
              <w:tabs>
                <w:tab w:val="left" w:pos="2047"/>
                <w:tab w:val="left" w:pos="5589"/>
                <w:tab w:val="left" w:pos="6300"/>
                <w:tab w:val="left" w:pos="6583"/>
              </w:tabs>
              <w:rPr>
                <w:rFonts w:ascii="Arial" w:hAnsi="Arial" w:cs="Arial"/>
                <w:b/>
                <w:sz w:val="22"/>
                <w:szCs w:val="22"/>
                <w:lang w:val="en-GB"/>
              </w:rPr>
            </w:pPr>
            <w:r w:rsidRPr="00D54364">
              <w:rPr>
                <w:rFonts w:ascii="Arial" w:hAnsi="Arial" w:cs="Arial"/>
                <w:b/>
                <w:sz w:val="22"/>
                <w:szCs w:val="22"/>
                <w:lang w:val="en-GB"/>
              </w:rPr>
              <w:t>Business Area:</w:t>
            </w:r>
          </w:p>
        </w:tc>
        <w:tc>
          <w:tcPr>
            <w:tcW w:w="2835" w:type="dxa"/>
            <w:tcBorders>
              <w:top w:val="single" w:sz="4" w:space="0" w:color="auto"/>
              <w:left w:val="single" w:sz="4" w:space="0" w:color="auto"/>
            </w:tcBorders>
            <w:shd w:val="clear" w:color="auto" w:fill="auto"/>
            <w:vAlign w:val="center"/>
          </w:tcPr>
          <w:p w:rsidR="005A6F6E" w:rsidRPr="00D54364" w:rsidRDefault="001E2A16" w:rsidP="00841F97">
            <w:pPr>
              <w:tabs>
                <w:tab w:val="left" w:pos="2047"/>
                <w:tab w:val="left" w:pos="5589"/>
                <w:tab w:val="left" w:pos="6300"/>
                <w:tab w:val="left" w:pos="6583"/>
              </w:tabs>
              <w:rPr>
                <w:rFonts w:ascii="Arial" w:hAnsi="Arial" w:cs="Arial"/>
                <w:b/>
                <w:sz w:val="22"/>
                <w:szCs w:val="22"/>
                <w:lang w:val="en-GB"/>
              </w:rPr>
            </w:pPr>
            <w:r>
              <w:rPr>
                <w:rFonts w:ascii="Arial" w:hAnsi="Arial" w:cs="Arial"/>
                <w:sz w:val="22"/>
                <w:szCs w:val="22"/>
                <w:bdr w:val="none" w:sz="0" w:space="0" w:color="auto" w:frame="1"/>
                <w:lang w:val="en-GB"/>
              </w:rPr>
              <w:t>Skills</w:t>
            </w:r>
          </w:p>
        </w:tc>
      </w:tr>
    </w:tbl>
    <w:p w:rsidR="005A6F6E" w:rsidRPr="004968F9" w:rsidRDefault="005A6F6E" w:rsidP="005A6F6E">
      <w:pPr>
        <w:pStyle w:val="Body"/>
        <w:ind w:right="261"/>
        <w:jc w:val="both"/>
        <w:rPr>
          <w:rFonts w:eastAsia="Calibri"/>
          <w:b/>
          <w:bCs/>
          <w:i/>
          <w:iCs/>
          <w:sz w:val="6"/>
          <w:szCs w:val="14"/>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F45BB8">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rsidR="00A6609A" w:rsidRPr="00237C6B" w:rsidRDefault="00A6609A" w:rsidP="00F45BB8">
            <w:pPr>
              <w:pStyle w:val="Heading3"/>
              <w:ind w:left="142" w:right="261"/>
              <w:jc w:val="both"/>
              <w:rPr>
                <w:sz w:val="22"/>
                <w:szCs w:val="22"/>
                <w:lang w:val="en-GB"/>
              </w:rPr>
            </w:pPr>
            <w:r w:rsidRPr="00237C6B">
              <w:rPr>
                <w:rFonts w:eastAsia="Calibri"/>
                <w:sz w:val="22"/>
                <w:szCs w:val="22"/>
                <w:lang w:val="en-GB"/>
              </w:rPr>
              <w:t>JOB PURPOSE</w:t>
            </w:r>
          </w:p>
        </w:tc>
      </w:tr>
      <w:tr w:rsidR="00A6609A" w:rsidRPr="00237C6B" w:rsidTr="00F45BB8">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5B4872" w:rsidRDefault="005B4872" w:rsidP="005B4872">
            <w:pPr>
              <w:pStyle w:val="Default"/>
              <w:rPr>
                <w:rFonts w:ascii="Arial" w:eastAsia="Trebuchet MS" w:hAnsi="Arial" w:cs="Arial"/>
                <w:sz w:val="22"/>
                <w:szCs w:val="22"/>
              </w:rPr>
            </w:pPr>
            <w:r>
              <w:rPr>
                <w:rFonts w:ascii="Arial" w:eastAsia="Trebuchet MS" w:hAnsi="Arial" w:cs="Arial"/>
                <w:sz w:val="22"/>
                <w:szCs w:val="22"/>
              </w:rPr>
              <w:t xml:space="preserve">To lead the development and provision of support services for learners with a wide range of additional support needs across all types of provision (apprenticeship, study programme, traineeship, and supported internship) so that they benefit fully from the opportunities provided by their programme and have the best possible chance to achieve their potential.  </w:t>
            </w:r>
          </w:p>
          <w:p w:rsidR="00A6609A" w:rsidRPr="00883A83" w:rsidRDefault="005B4872" w:rsidP="005B4872">
            <w:pPr>
              <w:ind w:left="62" w:right="261"/>
              <w:jc w:val="both"/>
              <w:rPr>
                <w:rFonts w:ascii="Arial" w:hAnsi="Arial" w:cs="Arial"/>
                <w:lang w:val="en-GB"/>
              </w:rPr>
            </w:pPr>
            <w:r>
              <w:rPr>
                <w:rFonts w:ascii="Arial" w:eastAsia="Trebuchet MS" w:hAnsi="Arial" w:cs="Arial"/>
                <w:sz w:val="22"/>
                <w:szCs w:val="22"/>
              </w:rPr>
              <w:t>To act as an internal source of advice and expertise on additional support needs for staff across the company.</w:t>
            </w:r>
          </w:p>
        </w:tc>
      </w:tr>
    </w:tbl>
    <w:p w:rsidR="00A6609A" w:rsidRPr="004968F9" w:rsidRDefault="00A6609A" w:rsidP="00A6609A">
      <w:pPr>
        <w:pStyle w:val="Body"/>
        <w:ind w:left="142" w:right="261" w:hanging="108"/>
        <w:jc w:val="both"/>
        <w:rPr>
          <w:rFonts w:eastAsia="Calibri"/>
          <w:b/>
          <w:bCs/>
          <w:i/>
          <w:iCs/>
          <w:sz w:val="6"/>
          <w:szCs w:val="14"/>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1023B4">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A6609A" w:rsidRPr="00237C6B" w:rsidRDefault="00A6609A" w:rsidP="001023B4">
            <w:pPr>
              <w:pStyle w:val="Body"/>
              <w:ind w:left="142" w:right="261"/>
            </w:pPr>
            <w:r w:rsidRPr="00237C6B">
              <w:rPr>
                <w:rFonts w:eastAsia="Calibri"/>
                <w:b/>
                <w:bCs/>
                <w:color w:val="FFFFFF"/>
                <w:u w:color="FFFFFF"/>
              </w:rPr>
              <w:t xml:space="preserve">KEY RESPONSIBILITIES </w:t>
            </w:r>
          </w:p>
        </w:tc>
      </w:tr>
      <w:tr w:rsidR="00A6609A" w:rsidRPr="00237C6B" w:rsidTr="001023B4">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develop and co-ordinate systems for identifying, assessing and responding to the additional support needs of learners across the company</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oversee co-ordinate and quality assure the provision of learning support for all learners identified with an additional support need, making sure that needs have been accurately identified and the right interventions put in place</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 xml:space="preserve">To develop staff across the company to be able to plan and deliver effective support for learners with a wide range of support needs including SEND </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personally oversee a small caseload of learners with the most complex needs, ensuring that they receive individualised support sessions appropriate to their individual needs</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work with delivery staff to develop materials and resources appropriate to the needs of different learner groups including use of innovative approaches such as use of e-learning tools, resources and assistive technology, other adaptations</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promote and facilitate the awareness and identification of additional learning needs and the types of support required by different learner groups to ensure programmes are accessible and inclusive and to maximise the progress and achievement of individual learners</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support staff across the company to develop their understanding of the needs of different learner groups and to develop their skills to provide individualised support including planning, co-ordinating and delivering training as part of the company’s overall CPD plan</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put systems in place to ensure accurate and timely completion of all learning support records including referral documentation, learner action plans and reviews, external specialist agency support  and other records in line with quality processes and funding requirements</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act as a single point of referral for all prospective learners with EHCP plans, liaise with others as appropriate to determine whether learning needs can be met and co-ordinate responses to local authorities and specialist support agencies</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ensure that  reviews including internal monitoring and statutory annual reviews are carried out for learners with EHCPs with the relevant local authorities as appropriate</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make arrangements for specialist assessment of learners and prospective learners with learning difficulties and/or disabilities and liaise with Awarding Organisations as appropriate to co-ordinate access arrangements</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 xml:space="preserve">To keep up to date with matters relating to additional learning support including legislation, funding and models of best  </w:t>
            </w:r>
            <w:proofErr w:type="spellStart"/>
            <w:r w:rsidRPr="003D05BD">
              <w:rPr>
                <w:rFonts w:ascii="Arial" w:hAnsi="Arial" w:cs="Arial"/>
                <w:color w:val="auto"/>
                <w:sz w:val="22"/>
                <w:szCs w:val="22"/>
              </w:rPr>
              <w:t>practiceTo</w:t>
            </w:r>
            <w:proofErr w:type="spellEnd"/>
            <w:r w:rsidRPr="003D05BD">
              <w:rPr>
                <w:rFonts w:ascii="Arial" w:hAnsi="Arial" w:cs="Arial"/>
                <w:color w:val="auto"/>
                <w:sz w:val="22"/>
                <w:szCs w:val="22"/>
              </w:rPr>
              <w:t xml:space="preserve"> monitor and evaluate the effectiveness of additional learning support and make recommendations to SMT for the further development of services including access to funding and bidding/tendering opportunities </w:t>
            </w:r>
          </w:p>
          <w:p w:rsidR="005B4872" w:rsidRPr="003D05BD" w:rsidRDefault="005B4872" w:rsidP="005B4872">
            <w:pPr>
              <w:pStyle w:val="Default"/>
              <w:numPr>
                <w:ilvl w:val="0"/>
                <w:numId w:val="6"/>
              </w:numPr>
              <w:rPr>
                <w:rFonts w:ascii="Arial" w:hAnsi="Arial" w:cs="Arial"/>
                <w:color w:val="auto"/>
                <w:sz w:val="22"/>
                <w:szCs w:val="22"/>
              </w:rPr>
            </w:pPr>
            <w:r w:rsidRPr="003D05BD">
              <w:rPr>
                <w:rFonts w:ascii="Arial" w:hAnsi="Arial" w:cs="Arial"/>
                <w:color w:val="auto"/>
                <w:sz w:val="22"/>
                <w:szCs w:val="22"/>
              </w:rPr>
              <w:t>To oversee the robust management of Learner Support Funding for apprentice learners, including compliance with awarding body criteria and evidence to support additional funding claims</w:t>
            </w:r>
          </w:p>
          <w:p w:rsidR="00A6609A" w:rsidRDefault="005B4872" w:rsidP="005B4872">
            <w:pPr>
              <w:pStyle w:val="ListParagraph"/>
              <w:tabs>
                <w:tab w:val="left" w:pos="720"/>
              </w:tabs>
              <w:ind w:left="346" w:right="261"/>
              <w:rPr>
                <w:color w:val="auto"/>
              </w:rPr>
            </w:pPr>
            <w:r w:rsidRPr="003D05BD">
              <w:rPr>
                <w:color w:val="auto"/>
              </w:rPr>
              <w:t xml:space="preserve">To gather and respond to feedback from learners, staff and external bodies about the quality of learning support delivered across all </w:t>
            </w:r>
            <w:proofErr w:type="spellStart"/>
            <w:r w:rsidRPr="003D05BD">
              <w:rPr>
                <w:color w:val="auto"/>
              </w:rPr>
              <w:t>programmes</w:t>
            </w:r>
            <w:proofErr w:type="spellEnd"/>
            <w:r w:rsidRPr="003D05BD">
              <w:rPr>
                <w:color w:val="auto"/>
              </w:rPr>
              <w:t xml:space="preserve"> and use to inform continuous improvement</w:t>
            </w:r>
            <w:r>
              <w:rPr>
                <w:color w:val="auto"/>
              </w:rPr>
              <w:t>.</w:t>
            </w:r>
          </w:p>
          <w:p w:rsidR="005B4872" w:rsidRDefault="005B4872" w:rsidP="005B4872">
            <w:pPr>
              <w:pStyle w:val="ListParagraph"/>
              <w:tabs>
                <w:tab w:val="left" w:pos="720"/>
              </w:tabs>
              <w:ind w:left="346" w:right="261"/>
              <w:rPr>
                <w:color w:val="auto"/>
              </w:rPr>
            </w:pPr>
          </w:p>
          <w:p w:rsidR="005B4872" w:rsidRDefault="005B4872" w:rsidP="005B4872">
            <w:pPr>
              <w:pStyle w:val="ListParagraph"/>
              <w:tabs>
                <w:tab w:val="left" w:pos="720"/>
              </w:tabs>
              <w:ind w:left="346" w:right="261"/>
              <w:rPr>
                <w:color w:val="auto"/>
              </w:rPr>
            </w:pPr>
          </w:p>
          <w:p w:rsidR="005B4872" w:rsidRDefault="005B4872" w:rsidP="005B4872">
            <w:pPr>
              <w:pStyle w:val="ListParagraph"/>
              <w:tabs>
                <w:tab w:val="left" w:pos="720"/>
              </w:tabs>
              <w:ind w:left="346" w:right="261"/>
              <w:rPr>
                <w:color w:val="auto"/>
              </w:rPr>
            </w:pPr>
          </w:p>
          <w:p w:rsidR="005B4872" w:rsidRPr="001023B4" w:rsidRDefault="005B4872" w:rsidP="005B4872">
            <w:pPr>
              <w:pStyle w:val="ListParagraph"/>
              <w:tabs>
                <w:tab w:val="left" w:pos="720"/>
              </w:tabs>
              <w:ind w:left="346" w:right="261"/>
              <w:rPr>
                <w:lang w:val="en-GB"/>
              </w:rPr>
            </w:pPr>
          </w:p>
        </w:tc>
      </w:tr>
    </w:tbl>
    <w:p w:rsidR="00A6609A" w:rsidRPr="004968F9" w:rsidRDefault="00A6609A" w:rsidP="00A6609A">
      <w:pPr>
        <w:pStyle w:val="Body"/>
        <w:ind w:left="142" w:right="261" w:hanging="108"/>
        <w:jc w:val="both"/>
        <w:rPr>
          <w:rFonts w:eastAsia="Calibri"/>
          <w:b/>
          <w:bCs/>
          <w:i/>
          <w:iCs/>
          <w:sz w:val="6"/>
          <w:szCs w:val="14"/>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237C6B" w:rsidTr="00B11091">
        <w:trPr>
          <w:trHeight w:val="180"/>
        </w:trPr>
        <w:tc>
          <w:tcPr>
            <w:tcW w:w="10356" w:type="dxa"/>
            <w:shd w:val="clear" w:color="auto" w:fill="000000"/>
            <w:tcMar>
              <w:top w:w="80" w:type="dxa"/>
              <w:left w:w="80" w:type="dxa"/>
              <w:bottom w:w="80" w:type="dxa"/>
              <w:right w:w="80" w:type="dxa"/>
            </w:tcMar>
            <w:vAlign w:val="center"/>
          </w:tcPr>
          <w:p w:rsidR="00A6609A" w:rsidRPr="00237C6B" w:rsidRDefault="00A6609A" w:rsidP="00B11091">
            <w:pPr>
              <w:pStyle w:val="Body"/>
              <w:ind w:left="142" w:right="261"/>
            </w:pPr>
            <w:r w:rsidRPr="00237C6B">
              <w:rPr>
                <w:rFonts w:eastAsia="Calibri"/>
                <w:b/>
                <w:bCs/>
                <w:i/>
                <w:iCs/>
              </w:rPr>
              <w:lastRenderedPageBreak/>
              <w:br w:type="page"/>
            </w:r>
            <w:r w:rsidRPr="00237C6B">
              <w:rPr>
                <w:rFonts w:eastAsia="Calibri"/>
                <w:b/>
                <w:bCs/>
                <w:color w:val="FFFFFF"/>
                <w:u w:color="FFFFFF"/>
              </w:rPr>
              <w:t>DIMENSIONS</w:t>
            </w:r>
          </w:p>
        </w:tc>
      </w:tr>
      <w:tr w:rsidR="005B4872" w:rsidRPr="00237C6B" w:rsidTr="00866720">
        <w:trPr>
          <w:trHeight w:val="937"/>
        </w:trPr>
        <w:tc>
          <w:tcPr>
            <w:tcW w:w="10356" w:type="dxa"/>
            <w:shd w:val="clear" w:color="auto" w:fill="auto"/>
            <w:tcMar>
              <w:top w:w="80" w:type="dxa"/>
              <w:left w:w="363" w:type="dxa"/>
              <w:bottom w:w="80" w:type="dxa"/>
              <w:right w:w="80" w:type="dxa"/>
            </w:tcMar>
          </w:tcPr>
          <w:p w:rsidR="005B4872" w:rsidRDefault="005B4872" w:rsidP="003967BC">
            <w:pPr>
              <w:ind w:right="261"/>
              <w:jc w:val="both"/>
              <w:rPr>
                <w:rFonts w:ascii="Arial" w:eastAsia="Trebuchet MS" w:hAnsi="Arial" w:cs="Arial"/>
                <w:bCs/>
                <w:iCs/>
                <w:sz w:val="22"/>
                <w:szCs w:val="22"/>
                <w:lang w:val="en-GB"/>
              </w:rPr>
            </w:pPr>
            <w:r>
              <w:rPr>
                <w:rFonts w:ascii="Arial" w:eastAsia="Trebuchet MS" w:hAnsi="Arial" w:cs="Arial"/>
                <w:bCs/>
                <w:iCs/>
                <w:sz w:val="22"/>
                <w:szCs w:val="22"/>
                <w:lang w:val="en-GB"/>
              </w:rPr>
              <w:t xml:space="preserve">8,000+ learners + 300 HE students each year (1400 study programme, 6,800 apprentices and adult learners) with currently 58% from a disadvantaged background, 18% declared disability/learning difficulty </w:t>
            </w:r>
          </w:p>
          <w:p w:rsidR="005B4872" w:rsidRPr="007756EE" w:rsidRDefault="005B4872" w:rsidP="003967BC">
            <w:pPr>
              <w:ind w:right="261"/>
              <w:jc w:val="both"/>
              <w:rPr>
                <w:rFonts w:ascii="Arial" w:eastAsia="Trebuchet MS" w:hAnsi="Arial" w:cs="Arial"/>
                <w:bCs/>
                <w:iCs/>
                <w:sz w:val="22"/>
                <w:szCs w:val="22"/>
                <w:lang w:val="en-GB"/>
              </w:rPr>
            </w:pPr>
            <w:r>
              <w:rPr>
                <w:rFonts w:ascii="Arial" w:eastAsia="Trebuchet MS" w:hAnsi="Arial" w:cs="Arial"/>
                <w:bCs/>
                <w:iCs/>
                <w:sz w:val="22"/>
                <w:szCs w:val="22"/>
                <w:lang w:val="en-GB"/>
              </w:rPr>
              <w:t>Working with 200+ staff to shape and deliver additional learning support services.</w:t>
            </w:r>
          </w:p>
        </w:tc>
      </w:tr>
    </w:tbl>
    <w:p w:rsidR="002C3707" w:rsidRPr="004968F9" w:rsidRDefault="002C3707" w:rsidP="00A6609A">
      <w:pPr>
        <w:pStyle w:val="Body"/>
        <w:ind w:right="261"/>
        <w:jc w:val="both"/>
        <w:rPr>
          <w:rFonts w:eastAsia="Calibri"/>
          <w:b/>
          <w:bCs/>
          <w:iCs/>
          <w:sz w:val="6"/>
          <w:szCs w:val="14"/>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37C6B" w:rsidTr="00F45BB8">
        <w:trPr>
          <w:trHeight w:val="180"/>
        </w:trPr>
        <w:tc>
          <w:tcPr>
            <w:tcW w:w="10349" w:type="dxa"/>
            <w:shd w:val="clear" w:color="auto" w:fill="000000"/>
            <w:tcMar>
              <w:top w:w="80" w:type="dxa"/>
              <w:left w:w="80" w:type="dxa"/>
              <w:bottom w:w="80" w:type="dxa"/>
              <w:right w:w="80" w:type="dxa"/>
            </w:tcMar>
          </w:tcPr>
          <w:p w:rsidR="00A6609A" w:rsidRPr="00237C6B" w:rsidRDefault="00A6609A" w:rsidP="00F45BB8">
            <w:pPr>
              <w:pStyle w:val="Body"/>
              <w:ind w:right="261"/>
              <w:jc w:val="both"/>
            </w:pPr>
            <w:r w:rsidRPr="00237C6B">
              <w:rPr>
                <w:rFonts w:eastAsia="Calibri"/>
                <w:b/>
                <w:bCs/>
                <w:color w:val="FFFFFF"/>
                <w:u w:color="FFFFFF"/>
              </w:rPr>
              <w:t>KNOWLEDGE, SKILLS AND EXPERIENCE</w:t>
            </w:r>
          </w:p>
        </w:tc>
      </w:tr>
      <w:tr w:rsidR="00A6609A" w:rsidRPr="00237C6B" w:rsidTr="00406404">
        <w:trPr>
          <w:trHeight w:val="1509"/>
        </w:trPr>
        <w:tc>
          <w:tcPr>
            <w:tcW w:w="10349" w:type="dxa"/>
            <w:shd w:val="clear" w:color="auto" w:fill="auto"/>
            <w:tcMar>
              <w:top w:w="80" w:type="dxa"/>
              <w:left w:w="363" w:type="dxa"/>
              <w:bottom w:w="80" w:type="dxa"/>
              <w:right w:w="80" w:type="dxa"/>
            </w:tcMar>
          </w:tcPr>
          <w:p w:rsidR="005B4872" w:rsidRDefault="005B4872" w:rsidP="005B4872">
            <w:pPr>
              <w:ind w:left="-221" w:right="261"/>
              <w:jc w:val="both"/>
              <w:rPr>
                <w:rFonts w:ascii="Arial" w:hAnsi="Arial" w:cs="Arial"/>
                <w:b/>
                <w:bCs/>
                <w:sz w:val="22"/>
                <w:szCs w:val="22"/>
                <w:lang w:val="en-GB"/>
              </w:rPr>
            </w:pPr>
            <w:r w:rsidRPr="007A100A">
              <w:rPr>
                <w:rFonts w:ascii="Arial" w:hAnsi="Arial" w:cs="Arial"/>
                <w:b/>
                <w:bCs/>
                <w:sz w:val="22"/>
                <w:szCs w:val="22"/>
                <w:lang w:val="en-GB"/>
              </w:rPr>
              <w:t>Essential Skills:</w:t>
            </w:r>
          </w:p>
          <w:p w:rsidR="005B4872" w:rsidRDefault="005B4872" w:rsidP="005B4872">
            <w:pPr>
              <w:pStyle w:val="ListParagraph"/>
              <w:numPr>
                <w:ilvl w:val="0"/>
                <w:numId w:val="7"/>
              </w:numPr>
              <w:ind w:right="261"/>
              <w:jc w:val="both"/>
              <w:rPr>
                <w:bCs/>
                <w:lang w:val="en-GB"/>
              </w:rPr>
            </w:pPr>
            <w:r>
              <w:rPr>
                <w:bCs/>
                <w:lang w:val="en-GB"/>
              </w:rPr>
              <w:t>Ability to analyse problems, recommend and successfully implement solutions</w:t>
            </w:r>
          </w:p>
          <w:p w:rsidR="005B4872" w:rsidRDefault="005B4872" w:rsidP="005B4872">
            <w:pPr>
              <w:pStyle w:val="ListParagraph"/>
              <w:numPr>
                <w:ilvl w:val="0"/>
                <w:numId w:val="7"/>
              </w:numPr>
              <w:ind w:right="261"/>
              <w:jc w:val="both"/>
              <w:rPr>
                <w:bCs/>
                <w:lang w:val="en-GB"/>
              </w:rPr>
            </w:pPr>
            <w:r>
              <w:rPr>
                <w:bCs/>
                <w:lang w:val="en-GB"/>
              </w:rPr>
              <w:t>Ability to achieve results through coaching, supporting and directing others</w:t>
            </w:r>
          </w:p>
          <w:p w:rsidR="005B4872" w:rsidRDefault="005B4872" w:rsidP="005B4872">
            <w:pPr>
              <w:pStyle w:val="ListParagraph"/>
              <w:numPr>
                <w:ilvl w:val="0"/>
                <w:numId w:val="7"/>
              </w:numPr>
              <w:ind w:right="261"/>
              <w:jc w:val="both"/>
              <w:rPr>
                <w:bCs/>
                <w:lang w:val="en-GB"/>
              </w:rPr>
            </w:pPr>
            <w:r>
              <w:rPr>
                <w:bCs/>
                <w:lang w:val="en-GB"/>
              </w:rPr>
              <w:t>Highly effective interpersonal skills</w:t>
            </w:r>
          </w:p>
          <w:p w:rsidR="005B4872" w:rsidRDefault="005B4872" w:rsidP="005B4872">
            <w:pPr>
              <w:pStyle w:val="ListParagraph"/>
              <w:numPr>
                <w:ilvl w:val="0"/>
                <w:numId w:val="7"/>
              </w:numPr>
              <w:ind w:right="261"/>
              <w:jc w:val="both"/>
              <w:rPr>
                <w:bCs/>
                <w:lang w:val="en-GB"/>
              </w:rPr>
            </w:pPr>
            <w:r>
              <w:rPr>
                <w:bCs/>
                <w:lang w:val="en-GB"/>
              </w:rPr>
              <w:t>Credibility to represent the company with referral organisations/aftercare providers</w:t>
            </w:r>
          </w:p>
          <w:p w:rsidR="005B4872" w:rsidRDefault="005B4872" w:rsidP="005B4872">
            <w:pPr>
              <w:ind w:left="-221" w:right="261"/>
              <w:jc w:val="both"/>
              <w:rPr>
                <w:rFonts w:ascii="Arial" w:hAnsi="Arial" w:cs="Arial"/>
                <w:lang w:val="en-GB"/>
              </w:rPr>
            </w:pPr>
          </w:p>
          <w:p w:rsidR="005B4872" w:rsidRPr="000A0FF1" w:rsidRDefault="005B4872" w:rsidP="005B4872">
            <w:pPr>
              <w:ind w:left="-221" w:right="261"/>
              <w:jc w:val="both"/>
              <w:rPr>
                <w:rFonts w:ascii="Arial" w:hAnsi="Arial" w:cs="Arial"/>
                <w:b/>
                <w:bCs/>
                <w:lang w:val="en-GB"/>
              </w:rPr>
            </w:pPr>
            <w:r w:rsidRPr="000A0FF1">
              <w:rPr>
                <w:rFonts w:ascii="Arial" w:hAnsi="Arial" w:cs="Arial"/>
                <w:b/>
                <w:bCs/>
                <w:sz w:val="22"/>
                <w:szCs w:val="22"/>
                <w:lang w:val="en-GB"/>
              </w:rPr>
              <w:t>Key Skills:</w:t>
            </w:r>
          </w:p>
          <w:p w:rsidR="005B4872" w:rsidRPr="009F7EF3" w:rsidRDefault="005B4872" w:rsidP="005B4872">
            <w:pPr>
              <w:pStyle w:val="ListParagraph"/>
              <w:numPr>
                <w:ilvl w:val="0"/>
                <w:numId w:val="7"/>
              </w:numPr>
              <w:ind w:right="261"/>
              <w:jc w:val="both"/>
              <w:rPr>
                <w:b/>
                <w:bCs/>
                <w:lang w:val="en-GB"/>
              </w:rPr>
            </w:pPr>
            <w:r>
              <w:rPr>
                <w:bCs/>
                <w:lang w:val="en-GB"/>
              </w:rPr>
              <w:t>Leadership and management skills</w:t>
            </w:r>
          </w:p>
          <w:p w:rsidR="005B4872" w:rsidRPr="009F7EF3" w:rsidRDefault="005B4872" w:rsidP="005B4872">
            <w:pPr>
              <w:pStyle w:val="ListParagraph"/>
              <w:numPr>
                <w:ilvl w:val="0"/>
                <w:numId w:val="7"/>
              </w:numPr>
              <w:ind w:right="261"/>
              <w:jc w:val="both"/>
              <w:rPr>
                <w:b/>
                <w:bCs/>
                <w:lang w:val="en-GB"/>
              </w:rPr>
            </w:pPr>
            <w:r w:rsidRPr="009F7EF3">
              <w:rPr>
                <w:bCs/>
                <w:lang w:val="en-GB"/>
              </w:rPr>
              <w:t>Ability to work to deadlines</w:t>
            </w:r>
          </w:p>
          <w:p w:rsidR="005B4872" w:rsidRDefault="005B4872" w:rsidP="005B4872">
            <w:pPr>
              <w:pStyle w:val="ListParagraph"/>
              <w:numPr>
                <w:ilvl w:val="0"/>
                <w:numId w:val="7"/>
              </w:numPr>
              <w:ind w:right="261"/>
              <w:jc w:val="both"/>
              <w:rPr>
                <w:bCs/>
                <w:lang w:val="en-GB"/>
              </w:rPr>
            </w:pPr>
            <w:r w:rsidRPr="009F7EF3">
              <w:rPr>
                <w:bCs/>
                <w:lang w:val="en-GB"/>
              </w:rPr>
              <w:t>Ability to motivate and inspire others</w:t>
            </w:r>
          </w:p>
          <w:p w:rsidR="005B4872" w:rsidRPr="00C335BC" w:rsidRDefault="005B4872" w:rsidP="005B4872">
            <w:pPr>
              <w:pStyle w:val="ListParagraph"/>
              <w:numPr>
                <w:ilvl w:val="0"/>
                <w:numId w:val="7"/>
              </w:numPr>
              <w:ind w:right="261"/>
              <w:jc w:val="both"/>
              <w:rPr>
                <w:lang w:val="en-GB"/>
              </w:rPr>
            </w:pPr>
            <w:r w:rsidRPr="00700B1D">
              <w:rPr>
                <w:bCs/>
                <w:lang w:val="en-GB"/>
              </w:rPr>
              <w:t>Ability to interpret and use data</w:t>
            </w:r>
          </w:p>
          <w:p w:rsidR="005B4872" w:rsidRPr="00C47F35" w:rsidRDefault="005B4872" w:rsidP="005B4872">
            <w:pPr>
              <w:pStyle w:val="ListParagraph"/>
              <w:numPr>
                <w:ilvl w:val="0"/>
                <w:numId w:val="7"/>
              </w:numPr>
              <w:ind w:right="261"/>
              <w:jc w:val="both"/>
              <w:rPr>
                <w:lang w:val="en-GB"/>
              </w:rPr>
            </w:pPr>
            <w:r>
              <w:rPr>
                <w:bCs/>
                <w:lang w:val="en-GB"/>
              </w:rPr>
              <w:t xml:space="preserve">Ability to build rapport with young people/parents/guardians </w:t>
            </w:r>
          </w:p>
          <w:p w:rsidR="005B4872" w:rsidRPr="00700B1D" w:rsidRDefault="005B4872" w:rsidP="005B4872">
            <w:pPr>
              <w:pStyle w:val="ListParagraph"/>
              <w:numPr>
                <w:ilvl w:val="0"/>
                <w:numId w:val="7"/>
              </w:numPr>
              <w:ind w:right="261"/>
              <w:jc w:val="both"/>
              <w:rPr>
                <w:lang w:val="en-GB"/>
              </w:rPr>
            </w:pPr>
            <w:r>
              <w:rPr>
                <w:bCs/>
                <w:lang w:val="en-GB"/>
              </w:rPr>
              <w:t xml:space="preserve">Ability to influence policy and practice so that the needs and entitlement of learners are consistently met  </w:t>
            </w:r>
          </w:p>
          <w:p w:rsidR="005B4872" w:rsidRPr="007A100A" w:rsidRDefault="005B4872" w:rsidP="005B4872">
            <w:pPr>
              <w:ind w:left="-221" w:right="261"/>
              <w:jc w:val="both"/>
              <w:rPr>
                <w:rFonts w:ascii="Arial" w:hAnsi="Arial" w:cs="Arial"/>
                <w:lang w:val="en-GB"/>
              </w:rPr>
            </w:pPr>
          </w:p>
          <w:p w:rsidR="005B4872" w:rsidRDefault="005B4872" w:rsidP="005B4872">
            <w:pPr>
              <w:ind w:left="-221" w:right="261"/>
              <w:jc w:val="both"/>
              <w:rPr>
                <w:rFonts w:ascii="Arial" w:hAnsi="Arial" w:cs="Arial"/>
                <w:b/>
                <w:bCs/>
                <w:sz w:val="22"/>
                <w:szCs w:val="22"/>
                <w:lang w:val="en-GB"/>
              </w:rPr>
            </w:pPr>
            <w:r w:rsidRPr="00276117">
              <w:rPr>
                <w:rFonts w:ascii="Arial" w:hAnsi="Arial" w:cs="Arial"/>
                <w:b/>
                <w:bCs/>
                <w:sz w:val="22"/>
                <w:szCs w:val="22"/>
                <w:lang w:val="en-GB"/>
              </w:rPr>
              <w:t>Experience:</w:t>
            </w:r>
          </w:p>
          <w:p w:rsidR="005B4872" w:rsidRPr="008E5697" w:rsidRDefault="005B4872" w:rsidP="005B4872">
            <w:pPr>
              <w:pStyle w:val="ListParagraph"/>
              <w:numPr>
                <w:ilvl w:val="0"/>
                <w:numId w:val="7"/>
              </w:numPr>
              <w:ind w:right="261"/>
              <w:jc w:val="both"/>
              <w:rPr>
                <w:b/>
                <w:bCs/>
                <w:lang w:val="en-GB"/>
              </w:rPr>
            </w:pPr>
            <w:r>
              <w:rPr>
                <w:bCs/>
                <w:lang w:val="en-GB"/>
              </w:rPr>
              <w:t xml:space="preserve">Fully qualified and experienced teacher – </w:t>
            </w:r>
            <w:proofErr w:type="spellStart"/>
            <w:r>
              <w:rPr>
                <w:bCs/>
                <w:lang w:val="en-GB"/>
              </w:rPr>
              <w:t>SENCo</w:t>
            </w:r>
            <w:proofErr w:type="spellEnd"/>
            <w:r>
              <w:rPr>
                <w:bCs/>
                <w:lang w:val="en-GB"/>
              </w:rPr>
              <w:t xml:space="preserve"> background ideal</w:t>
            </w:r>
          </w:p>
          <w:p w:rsidR="005B4872" w:rsidRPr="003D05BD" w:rsidRDefault="005B4872" w:rsidP="005B4872">
            <w:pPr>
              <w:pStyle w:val="ListParagraph"/>
              <w:numPr>
                <w:ilvl w:val="0"/>
                <w:numId w:val="7"/>
              </w:numPr>
              <w:ind w:right="261"/>
              <w:jc w:val="both"/>
              <w:rPr>
                <w:b/>
                <w:bCs/>
                <w:lang w:val="en-GB"/>
              </w:rPr>
            </w:pPr>
            <w:r>
              <w:rPr>
                <w:bCs/>
                <w:lang w:val="en-GB"/>
              </w:rPr>
              <w:t>At least 5 years’ experience of providing learning support (including personal &amp; social development) to young people and adults</w:t>
            </w:r>
          </w:p>
          <w:p w:rsidR="005B4872" w:rsidRPr="003D05BD" w:rsidRDefault="005B4872" w:rsidP="005B4872">
            <w:pPr>
              <w:pStyle w:val="ListParagraph"/>
              <w:numPr>
                <w:ilvl w:val="0"/>
                <w:numId w:val="7"/>
              </w:numPr>
              <w:ind w:right="261"/>
              <w:jc w:val="both"/>
              <w:rPr>
                <w:b/>
                <w:bCs/>
                <w:lang w:val="en-GB"/>
              </w:rPr>
            </w:pPr>
            <w:r>
              <w:rPr>
                <w:bCs/>
                <w:lang w:val="en-GB"/>
              </w:rPr>
              <w:t>Preferably at least one specialism (</w:t>
            </w:r>
            <w:proofErr w:type="spellStart"/>
            <w:r>
              <w:rPr>
                <w:bCs/>
                <w:lang w:val="en-GB"/>
              </w:rPr>
              <w:t>eg</w:t>
            </w:r>
            <w:proofErr w:type="spellEnd"/>
            <w:r>
              <w:rPr>
                <w:bCs/>
                <w:lang w:val="en-GB"/>
              </w:rPr>
              <w:t xml:space="preserve"> drugs/alcohol, BSL, counselling, IAG, </w:t>
            </w:r>
            <w:proofErr w:type="spellStart"/>
            <w:r>
              <w:rPr>
                <w:bCs/>
                <w:lang w:val="en-GB"/>
              </w:rPr>
              <w:t>CBT,Youth</w:t>
            </w:r>
            <w:proofErr w:type="spellEnd"/>
            <w:r>
              <w:rPr>
                <w:bCs/>
                <w:lang w:val="en-GB"/>
              </w:rPr>
              <w:t xml:space="preserve">/Social Work </w:t>
            </w:r>
            <w:proofErr w:type="spellStart"/>
            <w:r>
              <w:rPr>
                <w:bCs/>
                <w:lang w:val="en-GB"/>
              </w:rPr>
              <w:t>qual</w:t>
            </w:r>
            <w:proofErr w:type="spellEnd"/>
            <w:r>
              <w:rPr>
                <w:bCs/>
                <w:lang w:val="en-GB"/>
              </w:rPr>
              <w:t xml:space="preserve">) </w:t>
            </w:r>
          </w:p>
          <w:p w:rsidR="005B4872" w:rsidRDefault="005B4872" w:rsidP="005B4872">
            <w:pPr>
              <w:pStyle w:val="ListParagraph"/>
              <w:numPr>
                <w:ilvl w:val="0"/>
                <w:numId w:val="7"/>
              </w:numPr>
              <w:ind w:right="261"/>
              <w:jc w:val="both"/>
              <w:rPr>
                <w:bCs/>
                <w:lang w:val="en-GB"/>
              </w:rPr>
            </w:pPr>
            <w:r w:rsidRPr="00A05AAF">
              <w:rPr>
                <w:bCs/>
                <w:lang w:val="en-GB"/>
              </w:rPr>
              <w:t>Experience of working with SEND learners including those with mental and physical health related issues</w:t>
            </w:r>
          </w:p>
          <w:p w:rsidR="005B4872" w:rsidRDefault="005B4872" w:rsidP="005B4872">
            <w:pPr>
              <w:pStyle w:val="ListParagraph"/>
              <w:numPr>
                <w:ilvl w:val="0"/>
                <w:numId w:val="7"/>
              </w:numPr>
              <w:ind w:right="261"/>
              <w:jc w:val="both"/>
              <w:rPr>
                <w:bCs/>
                <w:lang w:val="en-GB"/>
              </w:rPr>
            </w:pPr>
            <w:r>
              <w:rPr>
                <w:bCs/>
                <w:lang w:val="en-GB"/>
              </w:rPr>
              <w:t>Experience of Ofsted inspections</w:t>
            </w:r>
          </w:p>
          <w:p w:rsidR="005B4872" w:rsidRDefault="005B4872" w:rsidP="005B4872">
            <w:pPr>
              <w:pStyle w:val="ListParagraph"/>
              <w:numPr>
                <w:ilvl w:val="0"/>
                <w:numId w:val="7"/>
              </w:numPr>
              <w:ind w:right="261"/>
              <w:jc w:val="both"/>
              <w:rPr>
                <w:bCs/>
                <w:lang w:val="en-GB"/>
              </w:rPr>
            </w:pPr>
            <w:r>
              <w:rPr>
                <w:bCs/>
                <w:lang w:val="en-GB"/>
              </w:rPr>
              <w:t>Preferably experience in a supervisory or management role</w:t>
            </w:r>
          </w:p>
          <w:p w:rsidR="005B4872" w:rsidRDefault="005B4872" w:rsidP="005B4872">
            <w:pPr>
              <w:pStyle w:val="ListParagraph"/>
              <w:ind w:left="360" w:right="261"/>
              <w:jc w:val="both"/>
              <w:rPr>
                <w:bCs/>
                <w:lang w:val="en-GB"/>
              </w:rPr>
            </w:pPr>
          </w:p>
          <w:p w:rsidR="005B4872" w:rsidRDefault="005B4872" w:rsidP="005B4872">
            <w:pPr>
              <w:ind w:left="-221" w:right="261"/>
              <w:jc w:val="both"/>
              <w:rPr>
                <w:rFonts w:ascii="Arial" w:hAnsi="Arial" w:cs="Arial"/>
                <w:b/>
                <w:sz w:val="22"/>
                <w:szCs w:val="22"/>
                <w:lang w:val="en-GB"/>
              </w:rPr>
            </w:pPr>
            <w:r w:rsidRPr="00276117">
              <w:rPr>
                <w:rFonts w:ascii="Arial" w:hAnsi="Arial" w:cs="Arial"/>
                <w:b/>
                <w:bCs/>
                <w:sz w:val="22"/>
                <w:szCs w:val="22"/>
                <w:lang w:val="en-GB"/>
              </w:rPr>
              <w:t>Knowledge</w:t>
            </w:r>
            <w:r w:rsidRPr="00276117">
              <w:rPr>
                <w:rFonts w:ascii="Arial" w:hAnsi="Arial" w:cs="Arial"/>
                <w:b/>
                <w:sz w:val="22"/>
                <w:szCs w:val="22"/>
                <w:lang w:val="en-GB"/>
              </w:rPr>
              <w:t xml:space="preserve">: </w:t>
            </w:r>
          </w:p>
          <w:p w:rsidR="005B4872" w:rsidRPr="003D05BD" w:rsidRDefault="005B4872" w:rsidP="005B4872">
            <w:pPr>
              <w:pStyle w:val="ListParagraph"/>
              <w:numPr>
                <w:ilvl w:val="0"/>
                <w:numId w:val="10"/>
              </w:numPr>
              <w:ind w:right="261"/>
              <w:jc w:val="both"/>
              <w:rPr>
                <w:color w:val="auto"/>
                <w:lang w:val="en-GB"/>
              </w:rPr>
            </w:pPr>
            <w:r w:rsidRPr="003D05BD">
              <w:rPr>
                <w:color w:val="auto"/>
                <w:lang w:val="en-GB"/>
              </w:rPr>
              <w:t>Knowledge and understanding of the full range of SEND, learning difficulties and disabilities affecting young people and adults</w:t>
            </w:r>
          </w:p>
          <w:p w:rsidR="005B4872" w:rsidRPr="003D05BD" w:rsidRDefault="005B4872" w:rsidP="005B4872">
            <w:pPr>
              <w:pStyle w:val="ListParagraph"/>
              <w:numPr>
                <w:ilvl w:val="0"/>
                <w:numId w:val="10"/>
              </w:numPr>
              <w:ind w:right="261"/>
              <w:jc w:val="both"/>
              <w:rPr>
                <w:color w:val="auto"/>
                <w:lang w:val="en-GB"/>
              </w:rPr>
            </w:pPr>
            <w:r w:rsidRPr="003D05BD">
              <w:rPr>
                <w:color w:val="auto"/>
                <w:lang w:val="en-GB"/>
              </w:rPr>
              <w:t xml:space="preserve">Knowledge and understanding of physical and mental health </w:t>
            </w:r>
          </w:p>
          <w:p w:rsidR="005B4872" w:rsidRPr="003D05BD" w:rsidRDefault="005B4872" w:rsidP="005B4872">
            <w:pPr>
              <w:pStyle w:val="ListParagraph"/>
              <w:numPr>
                <w:ilvl w:val="0"/>
                <w:numId w:val="10"/>
              </w:numPr>
              <w:ind w:right="261"/>
              <w:jc w:val="both"/>
              <w:rPr>
                <w:color w:val="auto"/>
                <w:lang w:val="en-GB"/>
              </w:rPr>
            </w:pPr>
            <w:r w:rsidRPr="003D05BD">
              <w:rPr>
                <w:color w:val="auto"/>
                <w:lang w:val="en-GB"/>
              </w:rPr>
              <w:t>SEND legislation</w:t>
            </w:r>
          </w:p>
          <w:p w:rsidR="005B4872" w:rsidRPr="003D05BD" w:rsidRDefault="005B4872" w:rsidP="005B4872">
            <w:pPr>
              <w:pStyle w:val="ListParagraph"/>
              <w:numPr>
                <w:ilvl w:val="0"/>
                <w:numId w:val="10"/>
              </w:numPr>
              <w:ind w:right="261"/>
              <w:jc w:val="both"/>
              <w:rPr>
                <w:color w:val="auto"/>
                <w:lang w:val="en-GB"/>
              </w:rPr>
            </w:pPr>
            <w:r w:rsidRPr="003D05BD">
              <w:rPr>
                <w:color w:val="auto"/>
                <w:lang w:val="en-GB"/>
              </w:rPr>
              <w:t>Range of specialist support agencies/complementary provider landscape</w:t>
            </w:r>
          </w:p>
          <w:p w:rsidR="005B4872" w:rsidRPr="003D05BD" w:rsidRDefault="005B4872" w:rsidP="005B4872">
            <w:pPr>
              <w:pStyle w:val="ListParagraph"/>
              <w:numPr>
                <w:ilvl w:val="0"/>
                <w:numId w:val="10"/>
              </w:numPr>
              <w:ind w:right="261"/>
              <w:jc w:val="both"/>
              <w:rPr>
                <w:color w:val="auto"/>
                <w:lang w:val="en-GB"/>
              </w:rPr>
            </w:pPr>
            <w:r w:rsidRPr="003D05BD">
              <w:rPr>
                <w:color w:val="auto"/>
                <w:lang w:val="en-GB"/>
              </w:rPr>
              <w:t>Equality and diversity legislation and good practice</w:t>
            </w:r>
          </w:p>
          <w:p w:rsidR="005B4872" w:rsidRPr="003D05BD" w:rsidRDefault="005B4872" w:rsidP="005B4872">
            <w:pPr>
              <w:pStyle w:val="ListParagraph"/>
              <w:numPr>
                <w:ilvl w:val="0"/>
                <w:numId w:val="10"/>
              </w:numPr>
              <w:ind w:right="261"/>
              <w:jc w:val="both"/>
              <w:rPr>
                <w:color w:val="auto"/>
                <w:lang w:val="en-GB"/>
              </w:rPr>
            </w:pPr>
            <w:r w:rsidRPr="003D05BD">
              <w:rPr>
                <w:color w:val="auto"/>
                <w:lang w:val="en-GB"/>
              </w:rPr>
              <w:t>Funding sources including ESFA and Local Authority</w:t>
            </w:r>
          </w:p>
          <w:p w:rsidR="005B4872" w:rsidRPr="009F7EF3" w:rsidRDefault="005B4872" w:rsidP="005B4872">
            <w:pPr>
              <w:pStyle w:val="ListParagraph"/>
              <w:numPr>
                <w:ilvl w:val="0"/>
                <w:numId w:val="9"/>
              </w:numPr>
              <w:ind w:right="261"/>
              <w:jc w:val="both"/>
              <w:rPr>
                <w:b/>
                <w:lang w:val="en-GB"/>
              </w:rPr>
            </w:pPr>
            <w:r>
              <w:rPr>
                <w:lang w:val="en-GB"/>
              </w:rPr>
              <w:t>Audit requirements</w:t>
            </w:r>
          </w:p>
          <w:p w:rsidR="005B4872" w:rsidRPr="007A100A" w:rsidRDefault="005B4872" w:rsidP="005B4872">
            <w:pPr>
              <w:ind w:left="-221" w:right="261"/>
              <w:jc w:val="both"/>
              <w:rPr>
                <w:rFonts w:ascii="Arial" w:hAnsi="Arial" w:cs="Arial"/>
                <w:lang w:val="en-GB"/>
              </w:rPr>
            </w:pPr>
          </w:p>
          <w:p w:rsidR="005B4872" w:rsidRDefault="005B4872" w:rsidP="005B4872">
            <w:pPr>
              <w:ind w:left="-221" w:right="261"/>
              <w:jc w:val="both"/>
              <w:rPr>
                <w:rFonts w:ascii="Arial" w:hAnsi="Arial" w:cs="Arial"/>
                <w:b/>
                <w:bCs/>
                <w:sz w:val="22"/>
                <w:szCs w:val="22"/>
                <w:lang w:val="en-GB"/>
              </w:rPr>
            </w:pPr>
            <w:r w:rsidRPr="00276117">
              <w:rPr>
                <w:rFonts w:ascii="Arial" w:hAnsi="Arial" w:cs="Arial"/>
                <w:b/>
                <w:bCs/>
                <w:sz w:val="22"/>
                <w:szCs w:val="22"/>
                <w:lang w:val="en-GB"/>
              </w:rPr>
              <w:t>Personal Style:</w:t>
            </w:r>
          </w:p>
          <w:p w:rsidR="005B4872" w:rsidRDefault="005B4872" w:rsidP="005B4872">
            <w:pPr>
              <w:pStyle w:val="ListParagraph"/>
              <w:numPr>
                <w:ilvl w:val="0"/>
                <w:numId w:val="8"/>
              </w:numPr>
              <w:ind w:right="261"/>
              <w:jc w:val="both"/>
              <w:rPr>
                <w:bCs/>
                <w:lang w:val="en-GB"/>
              </w:rPr>
            </w:pPr>
            <w:r>
              <w:rPr>
                <w:bCs/>
                <w:lang w:val="en-GB"/>
              </w:rPr>
              <w:t>Inclusive</w:t>
            </w:r>
          </w:p>
          <w:p w:rsidR="005B4872" w:rsidRDefault="005B4872" w:rsidP="005B4872">
            <w:pPr>
              <w:pStyle w:val="ListParagraph"/>
              <w:numPr>
                <w:ilvl w:val="0"/>
                <w:numId w:val="8"/>
              </w:numPr>
              <w:ind w:right="261"/>
              <w:jc w:val="both"/>
              <w:rPr>
                <w:bCs/>
                <w:lang w:val="en-GB"/>
              </w:rPr>
            </w:pPr>
            <w:r>
              <w:rPr>
                <w:bCs/>
                <w:lang w:val="en-GB"/>
              </w:rPr>
              <w:t>Empathetic</w:t>
            </w:r>
          </w:p>
          <w:p w:rsidR="005B4872" w:rsidRDefault="005B4872" w:rsidP="005B4872">
            <w:pPr>
              <w:pStyle w:val="ListParagraph"/>
              <w:numPr>
                <w:ilvl w:val="0"/>
                <w:numId w:val="8"/>
              </w:numPr>
              <w:ind w:right="261"/>
              <w:jc w:val="both"/>
              <w:rPr>
                <w:bCs/>
                <w:lang w:val="en-GB"/>
              </w:rPr>
            </w:pPr>
            <w:r>
              <w:rPr>
                <w:bCs/>
                <w:lang w:val="en-GB"/>
              </w:rPr>
              <w:t>Positive and motivational</w:t>
            </w:r>
          </w:p>
          <w:p w:rsidR="009E1372" w:rsidRPr="009E1372" w:rsidRDefault="005B4872" w:rsidP="005B4872">
            <w:pPr>
              <w:pStyle w:val="ListParagraph"/>
              <w:ind w:left="205" w:right="261"/>
              <w:jc w:val="both"/>
              <w:rPr>
                <w:lang w:val="en-GB"/>
              </w:rPr>
            </w:pPr>
            <w:r>
              <w:rPr>
                <w:bCs/>
                <w:lang w:val="en-GB"/>
              </w:rPr>
              <w:t>‘Can do’ attitude</w:t>
            </w:r>
            <w:r w:rsidR="009E1372" w:rsidRPr="009E1372">
              <w:rPr>
                <w:lang w:val="en-GB"/>
              </w:rPr>
              <w:t xml:space="preserve"> </w:t>
            </w:r>
          </w:p>
        </w:tc>
      </w:tr>
    </w:tbl>
    <w:p w:rsidR="00A6609A" w:rsidRPr="004968F9" w:rsidRDefault="00A6609A" w:rsidP="00A6609A">
      <w:pPr>
        <w:pStyle w:val="Body"/>
        <w:ind w:right="261"/>
        <w:jc w:val="both"/>
        <w:rPr>
          <w:rFonts w:eastAsia="Calibri"/>
          <w:b/>
          <w:bCs/>
          <w:i/>
          <w:iCs/>
          <w:sz w:val="10"/>
          <w:szCs w:val="14"/>
        </w:rPr>
      </w:pPr>
    </w:p>
    <w:tbl>
      <w:tblPr>
        <w:tblW w:w="10349"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9"/>
      </w:tblGrid>
      <w:tr w:rsidR="00A6609A" w:rsidRPr="00237C6B" w:rsidTr="00F45BB8">
        <w:trPr>
          <w:trHeight w:val="180"/>
        </w:trPr>
        <w:tc>
          <w:tcPr>
            <w:tcW w:w="10349"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A6609A" w:rsidRPr="00237C6B" w:rsidRDefault="00A6609A" w:rsidP="00F45BB8">
            <w:pPr>
              <w:pStyle w:val="Body"/>
              <w:ind w:right="261"/>
              <w:jc w:val="both"/>
            </w:pPr>
            <w:r w:rsidRPr="00237C6B">
              <w:rPr>
                <w:rFonts w:eastAsia="Calibri"/>
                <w:b/>
                <w:bCs/>
                <w:color w:val="FFFFFF"/>
                <w:u w:color="FFFFFF"/>
              </w:rPr>
              <w:t>CONTEXT</w:t>
            </w:r>
          </w:p>
        </w:tc>
      </w:tr>
      <w:tr w:rsidR="00A6609A" w:rsidRPr="00237C6B" w:rsidTr="00E5498E">
        <w:trPr>
          <w:trHeight w:val="370"/>
        </w:trPr>
        <w:tc>
          <w:tcPr>
            <w:tcW w:w="10349" w:type="dxa"/>
            <w:tcBorders>
              <w:top w:val="nil"/>
              <w:left w:val="single" w:sz="6" w:space="0" w:color="000000"/>
              <w:bottom w:val="single" w:sz="4" w:space="0" w:color="auto"/>
              <w:right w:val="single" w:sz="6" w:space="0" w:color="000000"/>
            </w:tcBorders>
            <w:shd w:val="clear" w:color="auto" w:fill="auto"/>
            <w:tcMar>
              <w:top w:w="80" w:type="dxa"/>
              <w:left w:w="363" w:type="dxa"/>
              <w:bottom w:w="80" w:type="dxa"/>
              <w:right w:w="80" w:type="dxa"/>
            </w:tcMar>
          </w:tcPr>
          <w:p w:rsidR="005B4872" w:rsidRPr="005B4872" w:rsidRDefault="005B4872" w:rsidP="005B4872">
            <w:pPr>
              <w:rPr>
                <w:rFonts w:ascii="Arial" w:hAnsi="Arial" w:cs="Arial"/>
                <w:sz w:val="22"/>
                <w:szCs w:val="22"/>
                <w:lang w:val="en-GB"/>
              </w:rPr>
            </w:pPr>
            <w:r w:rsidRPr="005B4872">
              <w:rPr>
                <w:rFonts w:ascii="Arial" w:hAnsi="Arial" w:cs="Arial"/>
                <w:sz w:val="22"/>
                <w:szCs w:val="22"/>
                <w:lang w:val="en-GB"/>
              </w:rPr>
              <w:t>Matrix management role working across The Growth Company (Skills and Education) with responsibility for leading the approach to learning support for all staff and learners.</w:t>
            </w:r>
          </w:p>
          <w:p w:rsidR="00A6609A" w:rsidRPr="00737681" w:rsidRDefault="00A6609A" w:rsidP="005A6F6E">
            <w:pPr>
              <w:ind w:left="-221" w:right="261"/>
              <w:jc w:val="both"/>
              <w:rPr>
                <w:rFonts w:ascii="Arial" w:hAnsi="Arial" w:cs="Arial"/>
                <w:sz w:val="22"/>
                <w:szCs w:val="22"/>
                <w:lang w:val="en-GB"/>
              </w:rPr>
            </w:pPr>
          </w:p>
        </w:tc>
      </w:tr>
    </w:tbl>
    <w:p w:rsidR="00A6609A" w:rsidRPr="00237C6B" w:rsidRDefault="00A6609A" w:rsidP="00E5498E">
      <w:pPr>
        <w:ind w:right="261"/>
        <w:jc w:val="both"/>
        <w:rPr>
          <w:rFonts w:ascii="Arial" w:hAnsi="Arial" w:cs="Arial"/>
          <w:sz w:val="22"/>
          <w:szCs w:val="22"/>
          <w:lang w:val="en-GB"/>
        </w:rPr>
      </w:pPr>
    </w:p>
    <w:sectPr w:rsidR="00A6609A" w:rsidRPr="00237C6B" w:rsidSect="00E5498E">
      <w:headerReference w:type="default" r:id="rId11"/>
      <w:footerReference w:type="default" r:id="rId12"/>
      <w:pgSz w:w="11900" w:h="16840"/>
      <w:pgMar w:top="426" w:right="843" w:bottom="284" w:left="993" w:header="426"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90" w:rsidRDefault="00EF0D90">
      <w:r>
        <w:separator/>
      </w:r>
    </w:p>
  </w:endnote>
  <w:endnote w:type="continuationSeparator" w:id="0">
    <w:p w:rsidR="00EF0D90" w:rsidRDefault="00E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7329"/>
      <w:docPartObj>
        <w:docPartGallery w:val="Page Numbers (Bottom of Page)"/>
        <w:docPartUnique/>
      </w:docPartObj>
    </w:sdtPr>
    <w:sdtEndPr/>
    <w:sdtContent>
      <w:p w:rsidR="00FB2935" w:rsidRDefault="002C3707" w:rsidP="00F45BB8">
        <w:pPr>
          <w:pStyle w:val="Footer"/>
          <w:jc w:val="center"/>
        </w:pPr>
        <w:r>
          <w:fldChar w:fldCharType="begin"/>
        </w:r>
        <w:r>
          <w:instrText xml:space="preserve"> PAGE   \* MERGEFORMAT </w:instrText>
        </w:r>
        <w:r>
          <w:fldChar w:fldCharType="separate"/>
        </w:r>
        <w:r w:rsidR="004A5348">
          <w:rPr>
            <w:noProof/>
          </w:rPr>
          <w:t>2</w:t>
        </w:r>
        <w:r>
          <w:rPr>
            <w:noProof/>
          </w:rPr>
          <w:fldChar w:fldCharType="end"/>
        </w:r>
      </w:p>
    </w:sdtContent>
  </w:sdt>
  <w:p w:rsidR="00FB2935" w:rsidRDefault="00FB2935" w:rsidP="00F45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90" w:rsidRDefault="00EF0D90">
      <w:r>
        <w:separator/>
      </w:r>
    </w:p>
  </w:footnote>
  <w:footnote w:type="continuationSeparator" w:id="0">
    <w:p w:rsidR="00EF0D90" w:rsidRDefault="00EF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35" w:rsidRDefault="00FB2935" w:rsidP="00F45BB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7DA"/>
    <w:multiLevelType w:val="hybridMultilevel"/>
    <w:tmpl w:val="9154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76035"/>
    <w:multiLevelType w:val="hybridMultilevel"/>
    <w:tmpl w:val="3482CC78"/>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2">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102AC"/>
    <w:multiLevelType w:val="hybridMultilevel"/>
    <w:tmpl w:val="DA2EA1AA"/>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4">
    <w:nsid w:val="3FD45D5B"/>
    <w:multiLevelType w:val="hybridMultilevel"/>
    <w:tmpl w:val="5BD2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AE4C1A"/>
    <w:multiLevelType w:val="hybridMultilevel"/>
    <w:tmpl w:val="7A987AB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64A67722"/>
    <w:multiLevelType w:val="hybridMultilevel"/>
    <w:tmpl w:val="400CA012"/>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7">
    <w:nsid w:val="68206C6C"/>
    <w:multiLevelType w:val="hybridMultilevel"/>
    <w:tmpl w:val="5A4A29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6AD83250"/>
    <w:multiLevelType w:val="hybridMultilevel"/>
    <w:tmpl w:val="C612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56E7C"/>
    <w:multiLevelType w:val="hybridMultilevel"/>
    <w:tmpl w:val="A218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9"/>
  </w:num>
  <w:num w:numId="6">
    <w:abstractNumId w:val="0"/>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9A"/>
    <w:rsid w:val="0001310D"/>
    <w:rsid w:val="00084569"/>
    <w:rsid w:val="001023B4"/>
    <w:rsid w:val="00141700"/>
    <w:rsid w:val="001712AB"/>
    <w:rsid w:val="0018509C"/>
    <w:rsid w:val="001D73E7"/>
    <w:rsid w:val="001E2A16"/>
    <w:rsid w:val="00224934"/>
    <w:rsid w:val="002260B5"/>
    <w:rsid w:val="00275C06"/>
    <w:rsid w:val="002C3707"/>
    <w:rsid w:val="002E12D8"/>
    <w:rsid w:val="00357995"/>
    <w:rsid w:val="00371072"/>
    <w:rsid w:val="003A279D"/>
    <w:rsid w:val="0040017D"/>
    <w:rsid w:val="00406404"/>
    <w:rsid w:val="00414B9D"/>
    <w:rsid w:val="00480A2E"/>
    <w:rsid w:val="004968F9"/>
    <w:rsid w:val="004A5348"/>
    <w:rsid w:val="004E0ED8"/>
    <w:rsid w:val="00502AD8"/>
    <w:rsid w:val="00554AE4"/>
    <w:rsid w:val="00555ACA"/>
    <w:rsid w:val="00590BB9"/>
    <w:rsid w:val="005A6F6E"/>
    <w:rsid w:val="005B4872"/>
    <w:rsid w:val="00676CED"/>
    <w:rsid w:val="006D13F4"/>
    <w:rsid w:val="006E2A77"/>
    <w:rsid w:val="006F438F"/>
    <w:rsid w:val="00737681"/>
    <w:rsid w:val="007A5732"/>
    <w:rsid w:val="0080023A"/>
    <w:rsid w:val="00815E70"/>
    <w:rsid w:val="00883A83"/>
    <w:rsid w:val="009074E4"/>
    <w:rsid w:val="00945CAF"/>
    <w:rsid w:val="009A500A"/>
    <w:rsid w:val="009B22C3"/>
    <w:rsid w:val="009E1372"/>
    <w:rsid w:val="009F142A"/>
    <w:rsid w:val="00A04917"/>
    <w:rsid w:val="00A221F2"/>
    <w:rsid w:val="00A6609A"/>
    <w:rsid w:val="00AF6982"/>
    <w:rsid w:val="00B04004"/>
    <w:rsid w:val="00B06B2A"/>
    <w:rsid w:val="00B11091"/>
    <w:rsid w:val="00B90525"/>
    <w:rsid w:val="00BA28E8"/>
    <w:rsid w:val="00BB4326"/>
    <w:rsid w:val="00BF3526"/>
    <w:rsid w:val="00CD27E5"/>
    <w:rsid w:val="00CD2A12"/>
    <w:rsid w:val="00CF6284"/>
    <w:rsid w:val="00D577FA"/>
    <w:rsid w:val="00DF1781"/>
    <w:rsid w:val="00DF1D8C"/>
    <w:rsid w:val="00E10456"/>
    <w:rsid w:val="00E5498E"/>
    <w:rsid w:val="00E751E0"/>
    <w:rsid w:val="00ED0D7B"/>
    <w:rsid w:val="00EF0D90"/>
    <w:rsid w:val="00F42F00"/>
    <w:rsid w:val="00F433DE"/>
    <w:rsid w:val="00F45BB8"/>
    <w:rsid w:val="00F75383"/>
    <w:rsid w:val="00FB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customStyle="1" w:styleId="Default">
    <w:name w:val="Default"/>
    <w:rsid w:val="005B48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customStyle="1" w:styleId="Default">
    <w:name w:val="Default"/>
    <w:rsid w:val="005B48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1M2_x0020__x002d__x0020_Introduction_x0020_to_x0020_Agresso_x0020_Desktop xmlns="82087396-89ab-4b3e-889a-65b579ca4ef3" xsi:nil="true"/>
    <Owner xmlns="2d5f03b8-567e-422e-9659-d7f275e19b87">
      <UserInfo>
        <DisplayName>HR Advice</DisplayName>
        <AccountId>812</AccountId>
        <AccountType/>
      </UserInfo>
    </Owner>
    <Review_x0020_Date xmlns="2d5f03b8-567e-422e-9659-d7f275e19b87">2017-09-26T23:00:00+00:00</Review_x0020_Date>
  </documentManagement>
</p:properties>
</file>

<file path=customXml/itemProps1.xml><?xml version="1.0" encoding="utf-8"?>
<ds:datastoreItem xmlns:ds="http://schemas.openxmlformats.org/officeDocument/2006/customXml" ds:itemID="{0EFC621A-E23D-4507-BD65-6467B303A3F6}">
  <ds:schemaRefs>
    <ds:schemaRef ds:uri="http://schemas.microsoft.com/sharepoint/v3/contenttype/forms"/>
  </ds:schemaRefs>
</ds:datastoreItem>
</file>

<file path=customXml/itemProps2.xml><?xml version="1.0" encoding="utf-8"?>
<ds:datastoreItem xmlns:ds="http://schemas.openxmlformats.org/officeDocument/2006/customXml" ds:itemID="{3F5A954F-7986-49E1-B449-E05E0A15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5040B2-D69C-48C0-BECD-64D2D2B05093}">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82087396-89ab-4b3e-889a-65b579ca4ef3"/>
    <ds:schemaRef ds:uri="2d5f03b8-567e-422e-9659-d7f275e19b87"/>
  </ds:schemaRefs>
</ds:datastoreItem>
</file>

<file path=docProps/app.xml><?xml version="1.0" encoding="utf-8"?>
<Properties xmlns="http://schemas.openxmlformats.org/officeDocument/2006/extended-properties" xmlns:vt="http://schemas.openxmlformats.org/officeDocument/2006/docPropsVTypes">
  <Template>27E7378E</Template>
  <TotalTime>2</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Natalie (Manchester Solutions)</dc:creator>
  <cp:lastModifiedBy>Verissimo, Ola (Manchester Growth Company)</cp:lastModifiedBy>
  <cp:revision>5</cp:revision>
  <dcterms:created xsi:type="dcterms:W3CDTF">2017-10-10T10:05:00Z</dcterms:created>
  <dcterms:modified xsi:type="dcterms:W3CDTF">2017-11-10T12:49:00Z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