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37" w:rsidRPr="00915537" w:rsidRDefault="00915537" w:rsidP="00915537">
      <w:pPr>
        <w:spacing w:after="0" w:line="540" w:lineRule="atLeast"/>
        <w:outlineLvl w:val="0"/>
        <w:rPr>
          <w:rFonts w:ascii="Arial" w:eastAsia="Times New Roman" w:hAnsi="Arial" w:cs="Arial"/>
          <w:b/>
          <w:bCs/>
          <w:color w:val="572F64"/>
          <w:kern w:val="36"/>
          <w:sz w:val="36"/>
          <w:szCs w:val="36"/>
          <w:lang w:eastAsia="en-GB"/>
        </w:rPr>
      </w:pPr>
      <w:r w:rsidRPr="00915537">
        <w:rPr>
          <w:rFonts w:ascii="Arial" w:eastAsia="Times New Roman" w:hAnsi="Arial" w:cs="Arial"/>
          <w:b/>
          <w:bCs/>
          <w:color w:val="572F64"/>
          <w:kern w:val="36"/>
          <w:sz w:val="36"/>
          <w:szCs w:val="36"/>
          <w:lang w:eastAsia="en-GB"/>
        </w:rPr>
        <w:t>Disclosure &amp; Barring Service (DBS) Checks</w:t>
      </w:r>
    </w:p>
    <w:p w:rsidR="00915537" w:rsidRPr="00915537" w:rsidRDefault="00915537" w:rsidP="00915537">
      <w:pPr>
        <w:spacing w:after="0" w:line="540" w:lineRule="atLeast"/>
        <w:outlineLvl w:val="1"/>
        <w:rPr>
          <w:rFonts w:ascii="Arial" w:eastAsia="Times New Roman" w:hAnsi="Arial" w:cs="Arial"/>
          <w:b/>
          <w:bCs/>
          <w:color w:val="60C6DC"/>
          <w:sz w:val="36"/>
          <w:szCs w:val="36"/>
          <w:lang w:eastAsia="en-GB"/>
        </w:rPr>
      </w:pPr>
      <w:r w:rsidRPr="00915537">
        <w:rPr>
          <w:rFonts w:ascii="Arial" w:eastAsia="Times New Roman" w:hAnsi="Arial" w:cs="Arial"/>
          <w:b/>
          <w:bCs/>
          <w:color w:val="60C6DC"/>
          <w:sz w:val="36"/>
          <w:szCs w:val="36"/>
          <w:lang w:eastAsia="en-GB"/>
        </w:rPr>
        <w:t>Formerly Criminal Records Bureau (CRB)</w:t>
      </w:r>
    </w:p>
    <w:p w:rsidR="00304436" w:rsidRPr="00304436" w:rsidRDefault="00304436" w:rsidP="00915537">
      <w:pPr>
        <w:spacing w:after="135" w:line="300" w:lineRule="atLeast"/>
        <w:rPr>
          <w:rFonts w:ascii="Arial" w:eastAsia="Times New Roman" w:hAnsi="Arial" w:cs="Arial"/>
          <w:color w:val="333333"/>
          <w:sz w:val="21"/>
          <w:szCs w:val="21"/>
          <w:lang w:eastAsia="en-GB"/>
        </w:rPr>
      </w:pPr>
    </w:p>
    <w:p w:rsidR="00304436" w:rsidRPr="00915537" w:rsidRDefault="00304436" w:rsidP="00304436">
      <w:pPr>
        <w:spacing w:after="0" w:line="405" w:lineRule="atLeast"/>
        <w:outlineLvl w:val="2"/>
        <w:rPr>
          <w:rFonts w:ascii="Arial" w:eastAsia="Times New Roman" w:hAnsi="Arial" w:cs="Arial"/>
          <w:b/>
          <w:bCs/>
          <w:color w:val="572F64"/>
          <w:sz w:val="27"/>
          <w:szCs w:val="27"/>
          <w:lang w:eastAsia="en-GB"/>
        </w:rPr>
      </w:pPr>
      <w:r>
        <w:rPr>
          <w:rFonts w:ascii="Arial" w:eastAsia="Times New Roman" w:hAnsi="Arial" w:cs="Arial"/>
          <w:b/>
          <w:bCs/>
          <w:color w:val="572F64"/>
          <w:sz w:val="27"/>
          <w:szCs w:val="27"/>
          <w:lang w:eastAsia="en-GB"/>
        </w:rPr>
        <w:t>Disclosure &amp; Barring Service</w:t>
      </w:r>
    </w:p>
    <w:p w:rsidR="00304436" w:rsidRPr="00304436" w:rsidRDefault="00304436" w:rsidP="00304436">
      <w:pPr>
        <w:pStyle w:val="NormalWeb"/>
        <w:shd w:val="clear" w:color="auto" w:fill="FFFFFF"/>
        <w:rPr>
          <w:rFonts w:ascii="Arial" w:hAnsi="Arial" w:cs="Arial"/>
          <w:color w:val="555555"/>
        </w:rPr>
      </w:pPr>
      <w:r w:rsidRPr="00304436">
        <w:rPr>
          <w:rFonts w:ascii="Arial" w:hAnsi="Arial" w:cs="Arial"/>
          <w:color w:val="555555"/>
        </w:rPr>
        <w:t>The primary role of the Disclosure and Barring Service (DBS) is to help employers make safer recruitment decisions and prevent unsuitable people from working with vulnerable groups including children.</w:t>
      </w:r>
    </w:p>
    <w:p w:rsidR="00304436" w:rsidRPr="00304436" w:rsidRDefault="00304436" w:rsidP="00304436">
      <w:pPr>
        <w:pStyle w:val="NormalWeb"/>
        <w:shd w:val="clear" w:color="auto" w:fill="FFFFFF"/>
        <w:rPr>
          <w:rFonts w:ascii="Arial" w:hAnsi="Arial" w:cs="Arial"/>
          <w:color w:val="555555"/>
        </w:rPr>
      </w:pPr>
      <w:r w:rsidRPr="00304436">
        <w:rPr>
          <w:rFonts w:ascii="Arial" w:hAnsi="Arial" w:cs="Arial"/>
          <w:color w:val="555555"/>
        </w:rPr>
        <w:t>The DBS was established under the Protection of Freedoms Act 2012 and merges the functions previously carried out by the Criminal Records Bureau (CRB) and Independent Safeguarding Authority (ISA).</w:t>
      </w:r>
    </w:p>
    <w:p w:rsidR="00304436" w:rsidRPr="00304436" w:rsidRDefault="00304436" w:rsidP="00304436">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The checking service allows employers to access the criminal record history of people working, or seeking to work, in certain positions, especially those that involve working with Children or Adults in specific situations.</w:t>
      </w:r>
    </w:p>
    <w:p w:rsidR="00304436" w:rsidRPr="00915537" w:rsidRDefault="00304436" w:rsidP="00915537">
      <w:pPr>
        <w:spacing w:after="135" w:line="300" w:lineRule="atLeast"/>
        <w:rPr>
          <w:rFonts w:ascii="Arial" w:eastAsia="Times New Roman" w:hAnsi="Arial" w:cs="Arial"/>
          <w:color w:val="333333"/>
          <w:sz w:val="21"/>
          <w:szCs w:val="21"/>
          <w:lang w:eastAsia="en-GB"/>
        </w:rPr>
      </w:pPr>
    </w:p>
    <w:p w:rsidR="00915537" w:rsidRPr="00915537" w:rsidRDefault="00915537" w:rsidP="00915537">
      <w:pPr>
        <w:spacing w:after="0" w:line="405" w:lineRule="atLeast"/>
        <w:outlineLvl w:val="2"/>
        <w:rPr>
          <w:rFonts w:ascii="Arial" w:eastAsia="Times New Roman" w:hAnsi="Arial" w:cs="Arial"/>
          <w:b/>
          <w:bCs/>
          <w:color w:val="572F64"/>
          <w:sz w:val="27"/>
          <w:szCs w:val="27"/>
          <w:lang w:eastAsia="en-GB"/>
        </w:rPr>
      </w:pPr>
      <w:r w:rsidRPr="00915537">
        <w:rPr>
          <w:rFonts w:ascii="Arial" w:eastAsia="Times New Roman" w:hAnsi="Arial" w:cs="Arial"/>
          <w:b/>
          <w:bCs/>
          <w:color w:val="572F64"/>
          <w:sz w:val="27"/>
          <w:szCs w:val="27"/>
          <w:lang w:eastAsia="en-GB"/>
        </w:rPr>
        <w:t>Eligibility to ask ‘an exempted question’</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An exempted question is a valid request for a person to reveal their full criminal history, including spent convictions.</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 xml:space="preserve">Access to the DBS checking service is only available to </w:t>
      </w:r>
      <w:hyperlink r:id="rId5" w:history="1">
        <w:r w:rsidRPr="00304436">
          <w:rPr>
            <w:rFonts w:ascii="Arial" w:eastAsia="Times New Roman" w:hAnsi="Arial" w:cs="Arial"/>
            <w:color w:val="572F64"/>
            <w:sz w:val="21"/>
            <w:szCs w:val="21"/>
            <w:lang w:eastAsia="en-GB"/>
          </w:rPr>
          <w:t>registered employers</w:t>
        </w:r>
      </w:hyperlink>
      <w:r w:rsidRPr="00915537">
        <w:rPr>
          <w:rFonts w:ascii="Arial" w:eastAsia="Times New Roman" w:hAnsi="Arial" w:cs="Arial"/>
          <w:color w:val="333333"/>
          <w:sz w:val="21"/>
          <w:szCs w:val="21"/>
          <w:lang w:eastAsia="en-GB"/>
        </w:rPr>
        <w:t xml:space="preserve"> who are entitled by law to ask an individual to reveal their full criminal history, including spent convictions - also known as asking ‘an exempted question’.</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An exempted question applies when the individual will be working in specific occupations, for certain licenses and specified positions. These are covered by the Rehabilitation of Offenders Act 1974 (Exceptions) Order 1975.</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The minimum age at which someone can be asked to apply for a criminal record check is 16 years old.</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 xml:space="preserve">For applicants that will be working in England or Wales, there are </w:t>
      </w:r>
      <w:r w:rsidRPr="00304436">
        <w:rPr>
          <w:rFonts w:ascii="Arial" w:eastAsia="Times New Roman" w:hAnsi="Arial" w:cs="Arial"/>
          <w:b/>
          <w:bCs/>
          <w:color w:val="333333"/>
          <w:sz w:val="21"/>
          <w:szCs w:val="21"/>
          <w:lang w:eastAsia="en-GB"/>
        </w:rPr>
        <w:t>two</w:t>
      </w:r>
      <w:r w:rsidRPr="00915537">
        <w:rPr>
          <w:rFonts w:ascii="Arial" w:eastAsia="Times New Roman" w:hAnsi="Arial" w:cs="Arial"/>
          <w:color w:val="333333"/>
          <w:sz w:val="21"/>
          <w:szCs w:val="21"/>
          <w:lang w:eastAsia="en-GB"/>
        </w:rPr>
        <w:t xml:space="preserve"> levels of criminal record check:</w:t>
      </w:r>
    </w:p>
    <w:p w:rsidR="00915537" w:rsidRPr="00915537" w:rsidRDefault="00915537" w:rsidP="00915537">
      <w:pPr>
        <w:spacing w:after="0" w:line="540" w:lineRule="atLeast"/>
        <w:outlineLvl w:val="1"/>
        <w:rPr>
          <w:rFonts w:ascii="Arial" w:eastAsia="Times New Roman" w:hAnsi="Arial" w:cs="Arial"/>
          <w:b/>
          <w:bCs/>
          <w:color w:val="60C6DC"/>
          <w:sz w:val="36"/>
          <w:szCs w:val="36"/>
          <w:lang w:eastAsia="en-GB"/>
        </w:rPr>
      </w:pPr>
      <w:r w:rsidRPr="00304436">
        <w:rPr>
          <w:rFonts w:ascii="Arial" w:eastAsia="Times New Roman" w:hAnsi="Arial" w:cs="Arial"/>
          <w:b/>
          <w:bCs/>
          <w:color w:val="60C6DC"/>
          <w:sz w:val="36"/>
          <w:szCs w:val="36"/>
          <w:lang w:eastAsia="en-GB"/>
        </w:rPr>
        <w:t>Standard</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Details of an individual’s convictions, cautions, reprimands or warnings recorded on Police central records and includes both ‘spent’ and ‘unspent’ convictions</w:t>
      </w:r>
    </w:p>
    <w:p w:rsidR="00915537" w:rsidRPr="00915537" w:rsidRDefault="00915537" w:rsidP="00915537">
      <w:pPr>
        <w:spacing w:after="0" w:line="540" w:lineRule="atLeast"/>
        <w:outlineLvl w:val="1"/>
        <w:rPr>
          <w:rFonts w:ascii="Arial" w:eastAsia="Times New Roman" w:hAnsi="Arial" w:cs="Arial"/>
          <w:b/>
          <w:bCs/>
          <w:color w:val="60C6DC"/>
          <w:sz w:val="36"/>
          <w:szCs w:val="36"/>
          <w:lang w:eastAsia="en-GB"/>
        </w:rPr>
      </w:pPr>
      <w:r w:rsidRPr="00304436">
        <w:rPr>
          <w:rFonts w:ascii="Arial" w:eastAsia="Times New Roman" w:hAnsi="Arial" w:cs="Arial"/>
          <w:b/>
          <w:bCs/>
          <w:color w:val="60C6DC"/>
          <w:sz w:val="36"/>
          <w:szCs w:val="36"/>
          <w:lang w:eastAsia="en-GB"/>
        </w:rPr>
        <w:t>Enhanced</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The same details as a Standard check, together with any information held locally by Police forces that it is reasonably considered might be relevant to the post applied for</w:t>
      </w:r>
    </w:p>
    <w:p w:rsidR="00304436" w:rsidRDefault="00304436" w:rsidP="00915537">
      <w:pPr>
        <w:spacing w:after="0" w:line="540" w:lineRule="atLeast"/>
        <w:outlineLvl w:val="1"/>
        <w:rPr>
          <w:rFonts w:ascii="Arial" w:eastAsia="Times New Roman" w:hAnsi="Arial" w:cs="Arial"/>
          <w:b/>
          <w:bCs/>
          <w:color w:val="60C6DC"/>
          <w:sz w:val="36"/>
          <w:szCs w:val="36"/>
          <w:lang w:eastAsia="en-GB"/>
        </w:rPr>
      </w:pPr>
    </w:p>
    <w:p w:rsidR="00304436" w:rsidRDefault="00304436" w:rsidP="00915537">
      <w:pPr>
        <w:spacing w:after="0" w:line="540" w:lineRule="atLeast"/>
        <w:outlineLvl w:val="1"/>
        <w:rPr>
          <w:rFonts w:ascii="Arial" w:eastAsia="Times New Roman" w:hAnsi="Arial" w:cs="Arial"/>
          <w:b/>
          <w:bCs/>
          <w:color w:val="60C6DC"/>
          <w:sz w:val="36"/>
          <w:szCs w:val="36"/>
          <w:lang w:eastAsia="en-GB"/>
        </w:rPr>
      </w:pPr>
    </w:p>
    <w:p w:rsidR="00915537" w:rsidRPr="00915537" w:rsidRDefault="00915537" w:rsidP="00915537">
      <w:pPr>
        <w:spacing w:after="0" w:line="540" w:lineRule="atLeast"/>
        <w:outlineLvl w:val="1"/>
        <w:rPr>
          <w:rFonts w:ascii="Arial" w:eastAsia="Times New Roman" w:hAnsi="Arial" w:cs="Arial"/>
          <w:b/>
          <w:bCs/>
          <w:color w:val="60C6DC"/>
          <w:sz w:val="36"/>
          <w:szCs w:val="36"/>
          <w:lang w:eastAsia="en-GB"/>
        </w:rPr>
      </w:pPr>
      <w:bookmarkStart w:id="0" w:name="_GoBack"/>
      <w:bookmarkEnd w:id="0"/>
      <w:r w:rsidRPr="00304436">
        <w:rPr>
          <w:rFonts w:ascii="Arial" w:eastAsia="Times New Roman" w:hAnsi="Arial" w:cs="Arial"/>
          <w:b/>
          <w:bCs/>
          <w:color w:val="60C6DC"/>
          <w:sz w:val="36"/>
          <w:szCs w:val="36"/>
          <w:lang w:eastAsia="en-GB"/>
        </w:rPr>
        <w:t>Enhanced with a DBS Barred List check</w:t>
      </w:r>
      <w:r w:rsidRPr="00915537">
        <w:rPr>
          <w:rFonts w:ascii="Arial" w:eastAsia="Times New Roman" w:hAnsi="Arial" w:cs="Arial"/>
          <w:b/>
          <w:bCs/>
          <w:color w:val="60C6DC"/>
          <w:sz w:val="36"/>
          <w:szCs w:val="36"/>
          <w:lang w:eastAsia="en-GB"/>
        </w:rPr>
        <w:t>:</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Child barred list information is only available for those individuals engaged in regulated activity with children and a small number of posts as listed in the Police Act regulations, for example prospective adoptive parents.</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Adult barred list is only available for those individuals engaged in regulated activity with adults and a small number of posts as listed in the Police Act regulations</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Child and Adult barred list is only available for those individuals engaged in regulated activity with both vulnerable groups including children and a small number of posts as listed in the Police Act regulations</w:t>
      </w:r>
    </w:p>
    <w:p w:rsidR="00915537" w:rsidRPr="00915537" w:rsidRDefault="00915537" w:rsidP="00915537">
      <w:pPr>
        <w:spacing w:after="135" w:line="300" w:lineRule="atLeast"/>
        <w:rPr>
          <w:rFonts w:ascii="Arial" w:eastAsia="Times New Roman" w:hAnsi="Arial" w:cs="Arial"/>
          <w:color w:val="333333"/>
          <w:sz w:val="21"/>
          <w:szCs w:val="21"/>
          <w:lang w:eastAsia="en-GB"/>
        </w:rPr>
      </w:pPr>
      <w:hyperlink r:id="rId6" w:anchor="#types-of-criminal-record-check" w:history="1">
        <w:r w:rsidRPr="00304436">
          <w:rPr>
            <w:rFonts w:ascii="Arial" w:eastAsia="Times New Roman" w:hAnsi="Arial" w:cs="Arial"/>
            <w:color w:val="572F64"/>
            <w:sz w:val="21"/>
            <w:szCs w:val="21"/>
            <w:lang w:eastAsia="en-GB"/>
          </w:rPr>
          <w:t>DBS Adult First</w:t>
        </w:r>
      </w:hyperlink>
      <w:r w:rsidRPr="00915537">
        <w:rPr>
          <w:rFonts w:ascii="Arial" w:eastAsia="Times New Roman" w:hAnsi="Arial" w:cs="Arial"/>
          <w:color w:val="333333"/>
          <w:sz w:val="21"/>
          <w:szCs w:val="21"/>
          <w:lang w:eastAsia="en-GB"/>
        </w:rPr>
        <w:t xml:space="preserve"> - an individual can be checked against the DBS Adult barred list while waiting for the full criminal record check to be completed</w:t>
      </w:r>
    </w:p>
    <w:p w:rsidR="00915537" w:rsidRPr="00915537" w:rsidRDefault="00915537" w:rsidP="00915537">
      <w:pPr>
        <w:spacing w:after="135" w:line="300" w:lineRule="atLeast"/>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 </w:t>
      </w:r>
    </w:p>
    <w:tbl>
      <w:tblPr>
        <w:tblW w:w="5000" w:type="pct"/>
        <w:tblCellMar>
          <w:top w:w="45" w:type="dxa"/>
          <w:left w:w="45" w:type="dxa"/>
          <w:bottom w:w="45" w:type="dxa"/>
          <w:right w:w="45" w:type="dxa"/>
        </w:tblCellMar>
        <w:tblLook w:val="04A0" w:firstRow="1" w:lastRow="0" w:firstColumn="1" w:lastColumn="0" w:noHBand="0" w:noVBand="1"/>
      </w:tblPr>
      <w:tblGrid>
        <w:gridCol w:w="4095"/>
        <w:gridCol w:w="1659"/>
        <w:gridCol w:w="1681"/>
        <w:gridCol w:w="1681"/>
      </w:tblGrid>
      <w:tr w:rsidR="00915537" w:rsidRPr="00915537" w:rsidTr="00915537">
        <w:trPr>
          <w:tblHeader/>
        </w:trPr>
        <w:tc>
          <w:tcPr>
            <w:tcW w:w="4875" w:type="dxa"/>
            <w:shd w:val="clear" w:color="auto" w:fill="E6E7E8"/>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 xml:space="preserve">Information included </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Standard</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Enhanced</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915537">
              <w:rPr>
                <w:rFonts w:ascii="Arial" w:eastAsia="Times New Roman" w:hAnsi="Arial" w:cs="Arial"/>
                <w:color w:val="333333"/>
                <w:sz w:val="21"/>
                <w:szCs w:val="21"/>
                <w:lang w:eastAsia="en-GB"/>
              </w:rPr>
              <w:t>Enhanced with Barred List check</w:t>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Unspent convictions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15014932" wp14:editId="6D61B943">
                  <wp:extent cx="190500" cy="171450"/>
                  <wp:effectExtent l="0" t="0" r="0" b="0"/>
                  <wp:docPr id="24" name="Picture 24"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590D1EB9" wp14:editId="676081E3">
                  <wp:extent cx="190500" cy="171450"/>
                  <wp:effectExtent l="0" t="0" r="0" b="0"/>
                  <wp:docPr id="23" name="Picture 23"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7C63C3C4" wp14:editId="1A5A4266">
                  <wp:extent cx="190500" cy="171450"/>
                  <wp:effectExtent l="0" t="0" r="0" b="0"/>
                  <wp:docPr id="22" name="Picture 22"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Spent convictions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13B1F0D7" wp14:editId="2C711AE9">
                  <wp:extent cx="190500" cy="171450"/>
                  <wp:effectExtent l="0" t="0" r="0" b="0"/>
                  <wp:docPr id="21" name="Picture 21"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0A2215F8" wp14:editId="58B17CD8">
                  <wp:extent cx="190500" cy="171450"/>
                  <wp:effectExtent l="0" t="0" r="0" b="0"/>
                  <wp:docPr id="20" name="Picture 20"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2C0F5BB0" wp14:editId="643D3405">
                  <wp:extent cx="190500" cy="171450"/>
                  <wp:effectExtent l="0" t="0" r="0" b="0"/>
                  <wp:docPr id="19" name="Picture 19"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Cautions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1B018FCA" wp14:editId="25F60868">
                  <wp:extent cx="190500" cy="171450"/>
                  <wp:effectExtent l="0" t="0" r="0" b="0"/>
                  <wp:docPr id="18" name="Picture 18"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6AAD5751" wp14:editId="16FBC0F4">
                  <wp:extent cx="190500" cy="171450"/>
                  <wp:effectExtent l="0" t="0" r="0" b="0"/>
                  <wp:docPr id="17" name="Picture 17"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53261426" wp14:editId="76DFE8E4">
                  <wp:extent cx="190500" cy="171450"/>
                  <wp:effectExtent l="0" t="0" r="0" b="0"/>
                  <wp:docPr id="16" name="Picture 16"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Consideration Status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06F67309" wp14:editId="37A7CBA7">
                  <wp:extent cx="171450" cy="158750"/>
                  <wp:effectExtent l="0" t="0" r="0" b="0"/>
                  <wp:docPr id="15" name="Picture 15"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3B3CA607" wp14:editId="20BA24A6">
                  <wp:extent cx="171450" cy="158750"/>
                  <wp:effectExtent l="0" t="0" r="0" b="0"/>
                  <wp:docPr id="14" name="Picture 14"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201CC06F" wp14:editId="0A0F2AC9">
                  <wp:extent cx="190500" cy="171450"/>
                  <wp:effectExtent l="0" t="0" r="0" b="0"/>
                  <wp:docPr id="13" name="Picture 13"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Suitability Information</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02E906F0" wp14:editId="40BBD538">
                  <wp:extent cx="171450" cy="158750"/>
                  <wp:effectExtent l="0" t="0" r="0" b="0"/>
                  <wp:docPr id="12" name="Picture 12"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00EF8963" wp14:editId="00763C63">
                  <wp:extent cx="171450" cy="158750"/>
                  <wp:effectExtent l="0" t="0" r="0" b="0"/>
                  <wp:docPr id="11" name="Picture 11"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52F755E4" wp14:editId="75A6EC71">
                  <wp:extent cx="190500" cy="171450"/>
                  <wp:effectExtent l="0" t="0" r="0" b="0"/>
                  <wp:docPr id="10" name="Picture 10"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135" w:line="300" w:lineRule="atLeast"/>
              <w:rPr>
                <w:rFonts w:ascii="Arial" w:eastAsia="Times New Roman" w:hAnsi="Arial" w:cs="Arial"/>
                <w:color w:val="333333"/>
                <w:sz w:val="21"/>
                <w:szCs w:val="21"/>
                <w:lang w:eastAsia="en-GB"/>
              </w:rPr>
            </w:pPr>
            <w:r w:rsidRPr="00304436">
              <w:rPr>
                <w:rFonts w:ascii="Arial" w:eastAsia="Times New Roman" w:hAnsi="Arial" w:cs="Arial"/>
                <w:b/>
                <w:bCs/>
                <w:color w:val="333333"/>
                <w:sz w:val="21"/>
                <w:szCs w:val="21"/>
                <w:lang w:eastAsia="en-GB"/>
              </w:rPr>
              <w:t>Prescribed Court Orders &amp; Sex Offenders Notification Requirements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1FC9B020" wp14:editId="177685E2">
                  <wp:extent cx="171450" cy="158750"/>
                  <wp:effectExtent l="0" t="0" r="0" b="0"/>
                  <wp:docPr id="9" name="Picture 9"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38FAE2CE" wp14:editId="0BDBB90E">
                  <wp:extent cx="171450" cy="158750"/>
                  <wp:effectExtent l="0" t="0" r="0" b="0"/>
                  <wp:docPr id="8" name="Picture 8"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0756F4C1" wp14:editId="2DF8391A">
                  <wp:extent cx="190500" cy="171450"/>
                  <wp:effectExtent l="0" t="0" r="0" b="0"/>
                  <wp:docPr id="7" name="Picture 7"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0" w:line="270" w:lineRule="atLeast"/>
              <w:rPr>
                <w:rFonts w:ascii="Arial" w:eastAsia="Times New Roman" w:hAnsi="Arial" w:cs="Arial"/>
                <w:color w:val="333333"/>
                <w:sz w:val="20"/>
                <w:szCs w:val="20"/>
                <w:lang w:eastAsia="en-GB"/>
              </w:rPr>
            </w:pPr>
            <w:r w:rsidRPr="00304436">
              <w:rPr>
                <w:rFonts w:ascii="Arial" w:eastAsia="Times New Roman" w:hAnsi="Arial" w:cs="Arial"/>
                <w:b/>
                <w:bCs/>
                <w:color w:val="333333"/>
                <w:sz w:val="20"/>
                <w:szCs w:val="20"/>
                <w:lang w:eastAsia="en-GB"/>
              </w:rPr>
              <w:t>Sex Offenders Notification Requirements</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26B35BA3" wp14:editId="49CF30BD">
                  <wp:extent cx="190500" cy="171450"/>
                  <wp:effectExtent l="0" t="0" r="0" b="0"/>
                  <wp:docPr id="6" name="Picture 6"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2C8DA92A" wp14:editId="519F7651">
                  <wp:extent cx="190500" cy="171450"/>
                  <wp:effectExtent l="0" t="0" r="0" b="0"/>
                  <wp:docPr id="5" name="Picture 5"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6D8AD4E5" wp14:editId="02163C5F">
                  <wp:extent cx="171450" cy="158750"/>
                  <wp:effectExtent l="0" t="0" r="0" b="0"/>
                  <wp:docPr id="4" name="Picture 4"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r>
      <w:tr w:rsidR="00915537" w:rsidRPr="00915537" w:rsidTr="00915537">
        <w:tc>
          <w:tcPr>
            <w:tcW w:w="4875" w:type="dxa"/>
            <w:shd w:val="clear" w:color="auto" w:fill="E6E7E8"/>
            <w:vAlign w:val="center"/>
            <w:hideMark/>
          </w:tcPr>
          <w:p w:rsidR="00915537" w:rsidRPr="00915537" w:rsidRDefault="00915537" w:rsidP="00915537">
            <w:pPr>
              <w:spacing w:after="0" w:line="270" w:lineRule="atLeast"/>
              <w:rPr>
                <w:rFonts w:ascii="Arial" w:eastAsia="Times New Roman" w:hAnsi="Arial" w:cs="Arial"/>
                <w:color w:val="333333"/>
                <w:sz w:val="20"/>
                <w:szCs w:val="20"/>
                <w:lang w:eastAsia="en-GB"/>
              </w:rPr>
            </w:pPr>
            <w:r w:rsidRPr="00304436">
              <w:rPr>
                <w:rFonts w:ascii="Arial" w:eastAsia="Times New Roman" w:hAnsi="Arial" w:cs="Arial"/>
                <w:b/>
                <w:bCs/>
                <w:color w:val="333333"/>
                <w:sz w:val="20"/>
                <w:szCs w:val="20"/>
                <w:lang w:eastAsia="en-GB"/>
              </w:rPr>
              <w:t>Other Relevant Information</w:t>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2A16C0A2" wp14:editId="45E8E291">
                  <wp:extent cx="171450" cy="158750"/>
                  <wp:effectExtent l="0" t="0" r="0" b="0"/>
                  <wp:docPr id="3" name="Picture 3" descr="https://www.disclosureservices.com/im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disclosureservices.com/img/cro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1248ABBF" wp14:editId="08F1746A">
                  <wp:extent cx="190500" cy="171450"/>
                  <wp:effectExtent l="0" t="0" r="0" b="0"/>
                  <wp:docPr id="2" name="Picture 2"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75" w:type="dxa"/>
            <w:shd w:val="clear" w:color="auto" w:fill="E6E7E8"/>
            <w:vAlign w:val="center"/>
            <w:hideMark/>
          </w:tcPr>
          <w:p w:rsidR="00915537" w:rsidRPr="00915537" w:rsidRDefault="00915537" w:rsidP="00915537">
            <w:pPr>
              <w:spacing w:after="135" w:line="300" w:lineRule="atLeast"/>
              <w:jc w:val="center"/>
              <w:rPr>
                <w:rFonts w:ascii="Arial" w:eastAsia="Times New Roman" w:hAnsi="Arial" w:cs="Arial"/>
                <w:color w:val="333333"/>
                <w:sz w:val="21"/>
                <w:szCs w:val="21"/>
                <w:lang w:eastAsia="en-GB"/>
              </w:rPr>
            </w:pPr>
            <w:r w:rsidRPr="00304436">
              <w:rPr>
                <w:rFonts w:ascii="Arial" w:eastAsia="Times New Roman" w:hAnsi="Arial" w:cs="Arial"/>
                <w:noProof/>
                <w:color w:val="333333"/>
                <w:sz w:val="21"/>
                <w:szCs w:val="21"/>
                <w:lang w:eastAsia="en-GB"/>
              </w:rPr>
              <w:drawing>
                <wp:inline distT="0" distB="0" distL="0" distR="0" wp14:anchorId="320BB890" wp14:editId="06B42CAE">
                  <wp:extent cx="190500" cy="171450"/>
                  <wp:effectExtent l="0" t="0" r="0" b="0"/>
                  <wp:docPr id="1" name="Picture 1" descr="https://www.disclosureservices.com/img/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isclosureservices.com/img/ti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915537" w:rsidRPr="00915537" w:rsidRDefault="00915537" w:rsidP="00915537">
      <w:pPr>
        <w:spacing w:after="0" w:line="270" w:lineRule="atLeast"/>
        <w:rPr>
          <w:rFonts w:ascii="Arial" w:eastAsia="Times New Roman" w:hAnsi="Arial" w:cs="Arial"/>
          <w:color w:val="333333"/>
          <w:sz w:val="20"/>
          <w:szCs w:val="20"/>
          <w:lang w:eastAsia="en-GB"/>
        </w:rPr>
      </w:pPr>
    </w:p>
    <w:sectPr w:rsidR="00915537" w:rsidRPr="00915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37"/>
    <w:rsid w:val="002A6A64"/>
    <w:rsid w:val="00304436"/>
    <w:rsid w:val="0091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537"/>
    <w:pPr>
      <w:spacing w:after="0" w:line="540" w:lineRule="atLeast"/>
      <w:outlineLvl w:val="0"/>
    </w:pPr>
    <w:rPr>
      <w:rFonts w:ascii="inherit" w:eastAsia="Times New Roman" w:hAnsi="inherit" w:cs="Times New Roman"/>
      <w:b/>
      <w:bCs/>
      <w:color w:val="572F64"/>
      <w:kern w:val="36"/>
      <w:sz w:val="36"/>
      <w:szCs w:val="36"/>
      <w:lang w:eastAsia="en-GB"/>
    </w:rPr>
  </w:style>
  <w:style w:type="paragraph" w:styleId="Heading2">
    <w:name w:val="heading 2"/>
    <w:basedOn w:val="Normal"/>
    <w:link w:val="Heading2Char"/>
    <w:uiPriority w:val="9"/>
    <w:qFormat/>
    <w:rsid w:val="00915537"/>
    <w:pPr>
      <w:spacing w:after="0" w:line="540" w:lineRule="atLeast"/>
      <w:outlineLvl w:val="1"/>
    </w:pPr>
    <w:rPr>
      <w:rFonts w:ascii="inherit" w:eastAsia="Times New Roman" w:hAnsi="inherit" w:cs="Times New Roman"/>
      <w:b/>
      <w:bCs/>
      <w:color w:val="60C6DC"/>
      <w:sz w:val="36"/>
      <w:szCs w:val="36"/>
      <w:lang w:eastAsia="en-GB"/>
    </w:rPr>
  </w:style>
  <w:style w:type="paragraph" w:styleId="Heading3">
    <w:name w:val="heading 3"/>
    <w:basedOn w:val="Normal"/>
    <w:link w:val="Heading3Char"/>
    <w:uiPriority w:val="9"/>
    <w:qFormat/>
    <w:rsid w:val="00915537"/>
    <w:pPr>
      <w:spacing w:after="0" w:line="405" w:lineRule="atLeast"/>
      <w:outlineLvl w:val="2"/>
    </w:pPr>
    <w:rPr>
      <w:rFonts w:ascii="inherit" w:eastAsia="Times New Roman" w:hAnsi="inherit" w:cs="Times New Roman"/>
      <w:b/>
      <w:bCs/>
      <w:color w:val="572F6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37"/>
    <w:rPr>
      <w:rFonts w:ascii="inherit" w:eastAsia="Times New Roman" w:hAnsi="inherit" w:cs="Times New Roman"/>
      <w:b/>
      <w:bCs/>
      <w:color w:val="572F64"/>
      <w:kern w:val="36"/>
      <w:sz w:val="36"/>
      <w:szCs w:val="36"/>
      <w:lang w:eastAsia="en-GB"/>
    </w:rPr>
  </w:style>
  <w:style w:type="character" w:customStyle="1" w:styleId="Heading2Char">
    <w:name w:val="Heading 2 Char"/>
    <w:basedOn w:val="DefaultParagraphFont"/>
    <w:link w:val="Heading2"/>
    <w:uiPriority w:val="9"/>
    <w:rsid w:val="00915537"/>
    <w:rPr>
      <w:rFonts w:ascii="inherit" w:eastAsia="Times New Roman" w:hAnsi="inherit" w:cs="Times New Roman"/>
      <w:b/>
      <w:bCs/>
      <w:color w:val="60C6DC"/>
      <w:sz w:val="36"/>
      <w:szCs w:val="36"/>
      <w:lang w:eastAsia="en-GB"/>
    </w:rPr>
  </w:style>
  <w:style w:type="character" w:customStyle="1" w:styleId="Heading3Char">
    <w:name w:val="Heading 3 Char"/>
    <w:basedOn w:val="DefaultParagraphFont"/>
    <w:link w:val="Heading3"/>
    <w:uiPriority w:val="9"/>
    <w:rsid w:val="00915537"/>
    <w:rPr>
      <w:rFonts w:ascii="inherit" w:eastAsia="Times New Roman" w:hAnsi="inherit" w:cs="Times New Roman"/>
      <w:b/>
      <w:bCs/>
      <w:color w:val="572F64"/>
      <w:sz w:val="27"/>
      <w:szCs w:val="27"/>
      <w:lang w:eastAsia="en-GB"/>
    </w:rPr>
  </w:style>
  <w:style w:type="character" w:styleId="Hyperlink">
    <w:name w:val="Hyperlink"/>
    <w:basedOn w:val="DefaultParagraphFont"/>
    <w:uiPriority w:val="99"/>
    <w:semiHidden/>
    <w:unhideWhenUsed/>
    <w:rsid w:val="00915537"/>
    <w:rPr>
      <w:b w:val="0"/>
      <w:bCs w:val="0"/>
      <w:strike w:val="0"/>
      <w:dstrike w:val="0"/>
      <w:color w:val="572F64"/>
      <w:u w:val="none"/>
      <w:effect w:val="none"/>
    </w:rPr>
  </w:style>
  <w:style w:type="character" w:styleId="Strong">
    <w:name w:val="Strong"/>
    <w:basedOn w:val="DefaultParagraphFont"/>
    <w:uiPriority w:val="22"/>
    <w:qFormat/>
    <w:rsid w:val="00915537"/>
    <w:rPr>
      <w:b/>
      <w:bCs/>
    </w:rPr>
  </w:style>
  <w:style w:type="paragraph" w:styleId="NormalWeb">
    <w:name w:val="Normal (Web)"/>
    <w:basedOn w:val="Normal"/>
    <w:uiPriority w:val="99"/>
    <w:unhideWhenUsed/>
    <w:rsid w:val="00915537"/>
    <w:pPr>
      <w:spacing w:after="135" w:line="300" w:lineRule="atLeast"/>
    </w:pPr>
    <w:rPr>
      <w:rFonts w:ascii="Helvetica" w:eastAsia="Times New Roman" w:hAnsi="Helvetica" w:cs="Times New Roman"/>
      <w:sz w:val="21"/>
      <w:szCs w:val="21"/>
      <w:lang w:eastAsia="en-GB"/>
    </w:rPr>
  </w:style>
  <w:style w:type="paragraph" w:styleId="BalloonText">
    <w:name w:val="Balloon Text"/>
    <w:basedOn w:val="Normal"/>
    <w:link w:val="BalloonTextChar"/>
    <w:uiPriority w:val="99"/>
    <w:semiHidden/>
    <w:unhideWhenUsed/>
    <w:rsid w:val="0091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537"/>
    <w:pPr>
      <w:spacing w:after="0" w:line="540" w:lineRule="atLeast"/>
      <w:outlineLvl w:val="0"/>
    </w:pPr>
    <w:rPr>
      <w:rFonts w:ascii="inherit" w:eastAsia="Times New Roman" w:hAnsi="inherit" w:cs="Times New Roman"/>
      <w:b/>
      <w:bCs/>
      <w:color w:val="572F64"/>
      <w:kern w:val="36"/>
      <w:sz w:val="36"/>
      <w:szCs w:val="36"/>
      <w:lang w:eastAsia="en-GB"/>
    </w:rPr>
  </w:style>
  <w:style w:type="paragraph" w:styleId="Heading2">
    <w:name w:val="heading 2"/>
    <w:basedOn w:val="Normal"/>
    <w:link w:val="Heading2Char"/>
    <w:uiPriority w:val="9"/>
    <w:qFormat/>
    <w:rsid w:val="00915537"/>
    <w:pPr>
      <w:spacing w:after="0" w:line="540" w:lineRule="atLeast"/>
      <w:outlineLvl w:val="1"/>
    </w:pPr>
    <w:rPr>
      <w:rFonts w:ascii="inherit" w:eastAsia="Times New Roman" w:hAnsi="inherit" w:cs="Times New Roman"/>
      <w:b/>
      <w:bCs/>
      <w:color w:val="60C6DC"/>
      <w:sz w:val="36"/>
      <w:szCs w:val="36"/>
      <w:lang w:eastAsia="en-GB"/>
    </w:rPr>
  </w:style>
  <w:style w:type="paragraph" w:styleId="Heading3">
    <w:name w:val="heading 3"/>
    <w:basedOn w:val="Normal"/>
    <w:link w:val="Heading3Char"/>
    <w:uiPriority w:val="9"/>
    <w:qFormat/>
    <w:rsid w:val="00915537"/>
    <w:pPr>
      <w:spacing w:after="0" w:line="405" w:lineRule="atLeast"/>
      <w:outlineLvl w:val="2"/>
    </w:pPr>
    <w:rPr>
      <w:rFonts w:ascii="inherit" w:eastAsia="Times New Roman" w:hAnsi="inherit" w:cs="Times New Roman"/>
      <w:b/>
      <w:bCs/>
      <w:color w:val="572F6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37"/>
    <w:rPr>
      <w:rFonts w:ascii="inherit" w:eastAsia="Times New Roman" w:hAnsi="inherit" w:cs="Times New Roman"/>
      <w:b/>
      <w:bCs/>
      <w:color w:val="572F64"/>
      <w:kern w:val="36"/>
      <w:sz w:val="36"/>
      <w:szCs w:val="36"/>
      <w:lang w:eastAsia="en-GB"/>
    </w:rPr>
  </w:style>
  <w:style w:type="character" w:customStyle="1" w:styleId="Heading2Char">
    <w:name w:val="Heading 2 Char"/>
    <w:basedOn w:val="DefaultParagraphFont"/>
    <w:link w:val="Heading2"/>
    <w:uiPriority w:val="9"/>
    <w:rsid w:val="00915537"/>
    <w:rPr>
      <w:rFonts w:ascii="inherit" w:eastAsia="Times New Roman" w:hAnsi="inherit" w:cs="Times New Roman"/>
      <w:b/>
      <w:bCs/>
      <w:color w:val="60C6DC"/>
      <w:sz w:val="36"/>
      <w:szCs w:val="36"/>
      <w:lang w:eastAsia="en-GB"/>
    </w:rPr>
  </w:style>
  <w:style w:type="character" w:customStyle="1" w:styleId="Heading3Char">
    <w:name w:val="Heading 3 Char"/>
    <w:basedOn w:val="DefaultParagraphFont"/>
    <w:link w:val="Heading3"/>
    <w:uiPriority w:val="9"/>
    <w:rsid w:val="00915537"/>
    <w:rPr>
      <w:rFonts w:ascii="inherit" w:eastAsia="Times New Roman" w:hAnsi="inherit" w:cs="Times New Roman"/>
      <w:b/>
      <w:bCs/>
      <w:color w:val="572F64"/>
      <w:sz w:val="27"/>
      <w:szCs w:val="27"/>
      <w:lang w:eastAsia="en-GB"/>
    </w:rPr>
  </w:style>
  <w:style w:type="character" w:styleId="Hyperlink">
    <w:name w:val="Hyperlink"/>
    <w:basedOn w:val="DefaultParagraphFont"/>
    <w:uiPriority w:val="99"/>
    <w:semiHidden/>
    <w:unhideWhenUsed/>
    <w:rsid w:val="00915537"/>
    <w:rPr>
      <w:b w:val="0"/>
      <w:bCs w:val="0"/>
      <w:strike w:val="0"/>
      <w:dstrike w:val="0"/>
      <w:color w:val="572F64"/>
      <w:u w:val="none"/>
      <w:effect w:val="none"/>
    </w:rPr>
  </w:style>
  <w:style w:type="character" w:styleId="Strong">
    <w:name w:val="Strong"/>
    <w:basedOn w:val="DefaultParagraphFont"/>
    <w:uiPriority w:val="22"/>
    <w:qFormat/>
    <w:rsid w:val="00915537"/>
    <w:rPr>
      <w:b/>
      <w:bCs/>
    </w:rPr>
  </w:style>
  <w:style w:type="paragraph" w:styleId="NormalWeb">
    <w:name w:val="Normal (Web)"/>
    <w:basedOn w:val="Normal"/>
    <w:uiPriority w:val="99"/>
    <w:unhideWhenUsed/>
    <w:rsid w:val="00915537"/>
    <w:pPr>
      <w:spacing w:after="135" w:line="300" w:lineRule="atLeast"/>
    </w:pPr>
    <w:rPr>
      <w:rFonts w:ascii="Helvetica" w:eastAsia="Times New Roman" w:hAnsi="Helvetica" w:cs="Times New Roman"/>
      <w:sz w:val="21"/>
      <w:szCs w:val="21"/>
      <w:lang w:eastAsia="en-GB"/>
    </w:rPr>
  </w:style>
  <w:style w:type="paragraph" w:styleId="BalloonText">
    <w:name w:val="Balloon Text"/>
    <w:basedOn w:val="Normal"/>
    <w:link w:val="BalloonTextChar"/>
    <w:uiPriority w:val="99"/>
    <w:semiHidden/>
    <w:unhideWhenUsed/>
    <w:rsid w:val="0091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5468">
      <w:bodyDiv w:val="1"/>
      <w:marLeft w:val="0"/>
      <w:marRight w:val="0"/>
      <w:marTop w:val="0"/>
      <w:marBottom w:val="0"/>
      <w:divBdr>
        <w:top w:val="single" w:sz="12" w:space="4" w:color="572F64"/>
        <w:left w:val="none" w:sz="0" w:space="0" w:color="auto"/>
        <w:bottom w:val="none" w:sz="0" w:space="0" w:color="auto"/>
        <w:right w:val="none" w:sz="0" w:space="0" w:color="auto"/>
      </w:divBdr>
      <w:divsChild>
        <w:div w:id="1844398276">
          <w:marLeft w:val="0"/>
          <w:marRight w:val="0"/>
          <w:marTop w:val="0"/>
          <w:marBottom w:val="0"/>
          <w:divBdr>
            <w:top w:val="none" w:sz="0" w:space="0" w:color="auto"/>
            <w:left w:val="none" w:sz="0" w:space="0" w:color="auto"/>
            <w:bottom w:val="none" w:sz="0" w:space="0" w:color="auto"/>
            <w:right w:val="none" w:sz="0" w:space="0" w:color="auto"/>
          </w:divBdr>
          <w:divsChild>
            <w:div w:id="54158920">
              <w:marLeft w:val="0"/>
              <w:marRight w:val="0"/>
              <w:marTop w:val="0"/>
              <w:marBottom w:val="0"/>
              <w:divBdr>
                <w:top w:val="single" w:sz="12" w:space="4" w:color="572F64"/>
                <w:left w:val="none" w:sz="0" w:space="0" w:color="auto"/>
                <w:bottom w:val="none" w:sz="0" w:space="0" w:color="auto"/>
                <w:right w:val="none" w:sz="0" w:space="0" w:color="auto"/>
              </w:divBdr>
            </w:div>
          </w:divsChild>
        </w:div>
      </w:divsChild>
    </w:div>
    <w:div w:id="158086617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78">
          <w:marLeft w:val="0"/>
          <w:marRight w:val="0"/>
          <w:marTop w:val="0"/>
          <w:marBottom w:val="0"/>
          <w:divBdr>
            <w:top w:val="none" w:sz="0" w:space="0" w:color="auto"/>
            <w:left w:val="none" w:sz="0" w:space="0" w:color="auto"/>
            <w:bottom w:val="none" w:sz="0" w:space="0" w:color="auto"/>
            <w:right w:val="none" w:sz="0" w:space="0" w:color="auto"/>
          </w:divBdr>
          <w:divsChild>
            <w:div w:id="15710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dbs-check-requests-guidance-for-employers" TargetMode="External"/><Relationship Id="rId5" Type="http://schemas.openxmlformats.org/officeDocument/2006/relationships/hyperlink" Target="https://www.gov.uk/dbs-check-requests-guidance-for-employ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17E554FD</Template>
  <TotalTime>21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Stephenson Academy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2014-01-27T09:30:00Z</dcterms:created>
  <dcterms:modified xsi:type="dcterms:W3CDTF">2014-01-27T09:51:00Z</dcterms:modified>
</cp:coreProperties>
</file>