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5A" w:rsidRDefault="00165B7A" w:rsidP="00165B7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PERSON SPECIFICATION</w:t>
      </w:r>
      <w:r>
        <w:rPr>
          <w:rFonts w:ascii="Arial" w:hAnsi="Arial" w:cs="Arial"/>
          <w:b/>
          <w:bCs/>
        </w:rPr>
        <w:br/>
      </w:r>
      <w:r w:rsidR="00054239" w:rsidRPr="00165B7A">
        <w:rPr>
          <w:rFonts w:ascii="Arial" w:hAnsi="Arial" w:cs="Arial"/>
          <w:b/>
          <w:sz w:val="32"/>
          <w:szCs w:val="32"/>
        </w:rPr>
        <w:t>Assi</w:t>
      </w:r>
      <w:r w:rsidR="0057255A" w:rsidRPr="00165B7A">
        <w:rPr>
          <w:rFonts w:ascii="Arial" w:hAnsi="Arial" w:cs="Arial"/>
          <w:b/>
          <w:sz w:val="32"/>
          <w:szCs w:val="32"/>
        </w:rPr>
        <w:t xml:space="preserve">stant </w:t>
      </w:r>
      <w:r w:rsidR="002C2E98">
        <w:rPr>
          <w:rFonts w:ascii="Arial" w:hAnsi="Arial" w:cs="Arial"/>
          <w:b/>
          <w:sz w:val="32"/>
          <w:szCs w:val="32"/>
        </w:rPr>
        <w:t>School</w:t>
      </w:r>
      <w:r w:rsidR="0057255A" w:rsidRPr="00165B7A">
        <w:rPr>
          <w:rFonts w:ascii="Arial" w:hAnsi="Arial" w:cs="Arial"/>
          <w:b/>
          <w:sz w:val="32"/>
          <w:szCs w:val="32"/>
        </w:rPr>
        <w:t xml:space="preserve"> Business Manager</w:t>
      </w:r>
    </w:p>
    <w:p w:rsidR="0057255A" w:rsidRDefault="00882C9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255A">
        <w:rPr>
          <w:rFonts w:ascii="Arial" w:hAnsi="Arial" w:cs="Arial"/>
        </w:rPr>
        <w:tab/>
      </w:r>
      <w:r w:rsidR="0057255A">
        <w:rPr>
          <w:rFonts w:ascii="Arial" w:hAnsi="Arial" w:cs="Arial"/>
        </w:rPr>
        <w:tab/>
      </w:r>
      <w:r w:rsidR="0057255A">
        <w:rPr>
          <w:rFonts w:ascii="Arial" w:hAnsi="Arial" w:cs="Arial"/>
        </w:rPr>
        <w:tab/>
      </w:r>
      <w:r w:rsidR="0057255A">
        <w:rPr>
          <w:rFonts w:ascii="Arial" w:hAnsi="Arial" w:cs="Arial"/>
        </w:rPr>
        <w:tab/>
      </w:r>
    </w:p>
    <w:p w:rsidR="0057255A" w:rsidRPr="001F4832" w:rsidRDefault="0057255A">
      <w:pPr>
        <w:rPr>
          <w:rFonts w:ascii="Arial" w:hAnsi="Arial" w:cs="Arial"/>
          <w:sz w:val="22"/>
          <w:szCs w:val="22"/>
        </w:rPr>
      </w:pPr>
    </w:p>
    <w:tbl>
      <w:tblPr>
        <w:tblW w:w="101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1417"/>
        <w:gridCol w:w="1297"/>
        <w:gridCol w:w="1980"/>
      </w:tblGrid>
      <w:tr w:rsidR="00165B7A" w:rsidTr="00165B7A">
        <w:tc>
          <w:tcPr>
            <w:tcW w:w="5427" w:type="dxa"/>
            <w:tcBorders>
              <w:bottom w:val="single" w:sz="4" w:space="0" w:color="auto"/>
            </w:tcBorders>
            <w:shd w:val="clear" w:color="auto" w:fill="E0E0E0"/>
          </w:tcPr>
          <w:p w:rsidR="00165B7A" w:rsidRDefault="00165B7A" w:rsidP="006D6A1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Skills and abilities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165B7A" w:rsidRDefault="00165B7A" w:rsidP="006D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165B7A" w:rsidRDefault="00165B7A" w:rsidP="006D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165B7A" w:rsidRDefault="00165B7A" w:rsidP="006D6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Assessed by</w:t>
            </w:r>
          </w:p>
        </w:tc>
      </w:tr>
      <w:tr w:rsidR="00165B7A" w:rsidTr="00165B7A">
        <w:tc>
          <w:tcPr>
            <w:tcW w:w="5427" w:type="dxa"/>
            <w:tcBorders>
              <w:bottom w:val="single" w:sz="4" w:space="0" w:color="auto"/>
            </w:tcBorders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  <w:lang w:val="en-GB"/>
              </w:rPr>
              <w:t>organise</w:t>
            </w:r>
            <w:r>
              <w:rPr>
                <w:rFonts w:ascii="Arial" w:hAnsi="Arial" w:cs="Arial"/>
              </w:rPr>
              <w:t xml:space="preserve"> one’s own work, to </w:t>
            </w:r>
            <w:r>
              <w:rPr>
                <w:rFonts w:ascii="Arial" w:hAnsi="Arial" w:cs="Arial"/>
                <w:lang w:val="en-GB"/>
              </w:rPr>
              <w:t>prioritise</w:t>
            </w:r>
            <w:r>
              <w:rPr>
                <w:rFonts w:ascii="Arial" w:hAnsi="Arial" w:cs="Arial"/>
              </w:rPr>
              <w:t xml:space="preserve"> tasks and keep to deadlines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</w:p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165B7A" w:rsidTr="00165B7A">
        <w:tc>
          <w:tcPr>
            <w:tcW w:w="5427" w:type="dxa"/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the work and outcomes of other people</w:t>
            </w:r>
          </w:p>
        </w:tc>
        <w:tc>
          <w:tcPr>
            <w:tcW w:w="1417" w:type="dxa"/>
            <w:shd w:val="clear" w:color="auto" w:fill="FFFFFF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165B7A" w:rsidTr="00165B7A">
        <w:tc>
          <w:tcPr>
            <w:tcW w:w="5427" w:type="dxa"/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the financial resources of the Academy to best practice standards</w:t>
            </w:r>
          </w:p>
        </w:tc>
        <w:tc>
          <w:tcPr>
            <w:tcW w:w="1417" w:type="dxa"/>
            <w:shd w:val="clear" w:color="auto" w:fill="FFFFFF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165B7A" w:rsidTr="00165B7A">
        <w:tc>
          <w:tcPr>
            <w:tcW w:w="5427" w:type="dxa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and interact effectively with adults, children and young people</w:t>
            </w:r>
          </w:p>
        </w:tc>
        <w:tc>
          <w:tcPr>
            <w:tcW w:w="1417" w:type="dxa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</w:p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165B7A" w:rsidTr="00165B7A">
        <w:tc>
          <w:tcPr>
            <w:tcW w:w="5427" w:type="dxa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ICT systems</w:t>
            </w:r>
          </w:p>
        </w:tc>
        <w:tc>
          <w:tcPr>
            <w:tcW w:w="1417" w:type="dxa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980" w:type="dxa"/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165B7A" w:rsidTr="00165B7A">
        <w:tc>
          <w:tcPr>
            <w:tcW w:w="5427" w:type="dxa"/>
            <w:tcBorders>
              <w:bottom w:val="single" w:sz="4" w:space="0" w:color="auto"/>
            </w:tcBorders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write effectively for a variety of different audiences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65B7A" w:rsidRDefault="00165B7A" w:rsidP="006D6A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65B7A" w:rsidRDefault="00165B7A" w:rsidP="006D6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F9618C" w:rsidTr="00165B7A">
        <w:tc>
          <w:tcPr>
            <w:tcW w:w="5427" w:type="dxa"/>
            <w:tcBorders>
              <w:bottom w:val="single" w:sz="4" w:space="0" w:color="auto"/>
            </w:tcBorders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scrutinise financial reports with close attention to details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F9618C" w:rsidTr="00165B7A">
        <w:tc>
          <w:tcPr>
            <w:tcW w:w="5427" w:type="dxa"/>
            <w:tcBorders>
              <w:bottom w:val="single" w:sz="4" w:space="0" w:color="auto"/>
            </w:tcBorders>
            <w:shd w:val="clear" w:color="auto" w:fill="E0E0E0"/>
          </w:tcPr>
          <w:p w:rsidR="00F9618C" w:rsidRDefault="00F9618C" w:rsidP="00F96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 knowledge in at least two of the non-finance functional areas covered by this post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F9618C" w:rsidTr="00DF5349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understanding of health, safety and security issues in Academys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understanding of and personal commitment to equality of opportunity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Experience, understanding and knowledge of financial and accounting procedures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F9618C" w:rsidTr="00165B7A">
        <w:tc>
          <w:tcPr>
            <w:tcW w:w="5427" w:type="dxa"/>
            <w:shd w:val="clear" w:color="auto" w:fill="E0E0E0"/>
          </w:tcPr>
          <w:p w:rsidR="00F9618C" w:rsidRDefault="00F9618C" w:rsidP="00F96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experience</w:t>
            </w:r>
          </w:p>
        </w:tc>
        <w:tc>
          <w:tcPr>
            <w:tcW w:w="1417" w:type="dxa"/>
            <w:shd w:val="clear" w:color="auto" w:fill="E0E0E0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E0E0E0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E0E0E0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certification to support word processing skills, database and spreadsheet skills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working within a school/academy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Application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4 or equivalent professional qualification (CIMA, CIPD, CSBM)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Application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years relevant experience in finance, personnel or administrative management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2 experience in </w:t>
            </w:r>
            <w:r>
              <w:rPr>
                <w:rFonts w:ascii="Arial" w:hAnsi="Arial" w:cs="Arial"/>
                <w:lang w:val="en-GB"/>
              </w:rPr>
              <w:t>computerised</w:t>
            </w:r>
            <w:r>
              <w:rPr>
                <w:rFonts w:ascii="Arial" w:hAnsi="Arial" w:cs="Arial"/>
              </w:rPr>
              <w:t xml:space="preserve"> finance, pay, personnel and administrative systems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</w:p>
          <w:p w:rsidR="00F9618C" w:rsidRDefault="00F9618C" w:rsidP="00F9618C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Application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the SIMS </w:t>
            </w:r>
            <w:r>
              <w:rPr>
                <w:rFonts w:ascii="Arial" w:hAnsi="Arial" w:cs="Arial"/>
                <w:lang w:val="en-GB"/>
              </w:rPr>
              <w:t>computerised</w:t>
            </w:r>
            <w:r>
              <w:rPr>
                <w:rFonts w:ascii="Arial" w:hAnsi="Arial" w:cs="Arial"/>
              </w:rPr>
              <w:t xml:space="preserve"> packages commonly used in Academys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Application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the PS Financial &amp; BPS system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Application</w:t>
            </w:r>
          </w:p>
        </w:tc>
      </w:tr>
      <w:tr w:rsidR="00F9618C" w:rsidTr="00165B7A">
        <w:tc>
          <w:tcPr>
            <w:tcW w:w="5427" w:type="dxa"/>
            <w:shd w:val="clear" w:color="auto" w:fill="FFFFFF"/>
          </w:tcPr>
          <w:p w:rsidR="00F9618C" w:rsidRDefault="00F9618C" w:rsidP="00F96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and motivation to develop own skills and proficiency and complete the Certificate in School Business Management</w:t>
            </w:r>
          </w:p>
        </w:tc>
        <w:tc>
          <w:tcPr>
            <w:tcW w:w="141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97" w:type="dxa"/>
            <w:shd w:val="clear" w:color="auto" w:fill="FFFFFF"/>
          </w:tcPr>
          <w:p w:rsidR="00F9618C" w:rsidRDefault="00F9618C" w:rsidP="00F961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FFFFFF"/>
          </w:tcPr>
          <w:p w:rsidR="00F9618C" w:rsidRDefault="00F9618C" w:rsidP="00F96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F9618C" w:rsidRDefault="00F9618C" w:rsidP="00F961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&amp; interview</w:t>
            </w:r>
          </w:p>
        </w:tc>
      </w:tr>
    </w:tbl>
    <w:p w:rsidR="0057255A" w:rsidRPr="00054510" w:rsidRDefault="0057255A" w:rsidP="00165B7A">
      <w:pPr>
        <w:pStyle w:val="Heading1"/>
      </w:pPr>
    </w:p>
    <w:sectPr w:rsidR="0057255A" w:rsidRPr="00054510" w:rsidSect="00E03378">
      <w:headerReference w:type="default" r:id="rId8"/>
      <w:footerReference w:type="even" r:id="rId9"/>
      <w:footerReference w:type="default" r:id="rId10"/>
      <w:pgSz w:w="11909" w:h="16834" w:code="9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A2" w:rsidRDefault="004358A2">
      <w:r>
        <w:separator/>
      </w:r>
    </w:p>
  </w:endnote>
  <w:endnote w:type="continuationSeparator" w:id="0">
    <w:p w:rsidR="004358A2" w:rsidRDefault="004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Adventor">
    <w:altName w:val="TeXGyreAdven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55A" w:rsidRDefault="00572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55A" w:rsidRDefault="00572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10" w:rsidRPr="001F4832" w:rsidRDefault="00054510" w:rsidP="001F4832">
    <w:pPr>
      <w:pStyle w:val="Footer"/>
      <w:ind w:right="360"/>
      <w:jc w:val="center"/>
      <w:rPr>
        <w:rFonts w:ascii="Arial" w:hAnsi="Arial" w:cs="Arial"/>
        <w:color w:val="000000"/>
        <w:sz w:val="20"/>
      </w:rPr>
    </w:pPr>
    <w:r>
      <w:rPr>
        <w:rStyle w:val="emailstyle15"/>
      </w:rPr>
      <w:t xml:space="preserve">This </w:t>
    </w:r>
    <w:r w:rsidR="001F4832">
      <w:rPr>
        <w:rStyle w:val="emailstyle15"/>
      </w:rPr>
      <w:t>Academy</w:t>
    </w:r>
    <w:r>
      <w:rPr>
        <w:rStyle w:val="emailstyle15"/>
      </w:rPr>
      <w:t xml:space="preserve"> is committed to safeguarding and promoting the welfare of children and young people. Everybody who works for the </w:t>
    </w:r>
    <w:r w:rsidR="001F4832">
      <w:rPr>
        <w:rStyle w:val="emailstyle15"/>
      </w:rPr>
      <w:t>Academy</w:t>
    </w:r>
    <w:r>
      <w:rPr>
        <w:rStyle w:val="emailstyle15"/>
      </w:rPr>
      <w:t xml:space="preserve"> is expected to share and promote this commitment and to have, or acquire, the relevant abilities, skills and knowledge to carry it out.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A2" w:rsidRDefault="004358A2">
      <w:r>
        <w:separator/>
      </w:r>
    </w:p>
  </w:footnote>
  <w:footnote w:type="continuationSeparator" w:id="0">
    <w:p w:rsidR="004358A2" w:rsidRDefault="0043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A4" w:rsidRDefault="00B529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-208296</wp:posOffset>
          </wp:positionV>
          <wp:extent cx="822960" cy="581025"/>
          <wp:effectExtent l="0" t="0" r="0" b="9525"/>
          <wp:wrapNone/>
          <wp:docPr id="2" name="Picture 2" descr="hir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9A4" w:rsidRDefault="00B529A4">
    <w:pPr>
      <w:pStyle w:val="Header"/>
    </w:pPr>
  </w:p>
  <w:p w:rsidR="001C2504" w:rsidRDefault="001C2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92F"/>
    <w:multiLevelType w:val="hybridMultilevel"/>
    <w:tmpl w:val="65CCC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D36"/>
    <w:multiLevelType w:val="hybridMultilevel"/>
    <w:tmpl w:val="0786F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393A19"/>
    <w:multiLevelType w:val="hybridMultilevel"/>
    <w:tmpl w:val="12720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54B"/>
    <w:multiLevelType w:val="hybridMultilevel"/>
    <w:tmpl w:val="5CC2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70F9"/>
    <w:multiLevelType w:val="hybridMultilevel"/>
    <w:tmpl w:val="A5900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665A7"/>
    <w:multiLevelType w:val="hybridMultilevel"/>
    <w:tmpl w:val="E55A5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5AE"/>
    <w:multiLevelType w:val="hybridMultilevel"/>
    <w:tmpl w:val="0786F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822FBA"/>
    <w:multiLevelType w:val="hybridMultilevel"/>
    <w:tmpl w:val="7042F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751D07"/>
    <w:multiLevelType w:val="hybridMultilevel"/>
    <w:tmpl w:val="767E3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74BBE"/>
    <w:multiLevelType w:val="hybridMultilevel"/>
    <w:tmpl w:val="614E74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1949C2"/>
    <w:multiLevelType w:val="hybridMultilevel"/>
    <w:tmpl w:val="0D9A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24B6"/>
    <w:multiLevelType w:val="hybridMultilevel"/>
    <w:tmpl w:val="0786F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CD1084"/>
    <w:multiLevelType w:val="hybridMultilevel"/>
    <w:tmpl w:val="93826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5706"/>
    <w:multiLevelType w:val="hybridMultilevel"/>
    <w:tmpl w:val="38765A9E"/>
    <w:lvl w:ilvl="0" w:tplc="E22A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029B7"/>
    <w:multiLevelType w:val="hybridMultilevel"/>
    <w:tmpl w:val="F7FE4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63307E"/>
    <w:multiLevelType w:val="hybridMultilevel"/>
    <w:tmpl w:val="125802A4"/>
    <w:lvl w:ilvl="0" w:tplc="2B2C987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B91973"/>
    <w:multiLevelType w:val="hybridMultilevel"/>
    <w:tmpl w:val="F7FE4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B66FBF"/>
    <w:multiLevelType w:val="hybridMultilevel"/>
    <w:tmpl w:val="A2F63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6"/>
    <w:rsid w:val="00054239"/>
    <w:rsid w:val="00054510"/>
    <w:rsid w:val="00165B7A"/>
    <w:rsid w:val="001C2504"/>
    <w:rsid w:val="001F3EB6"/>
    <w:rsid w:val="001F4832"/>
    <w:rsid w:val="002C2E98"/>
    <w:rsid w:val="00317751"/>
    <w:rsid w:val="00364008"/>
    <w:rsid w:val="003F6A99"/>
    <w:rsid w:val="004358A2"/>
    <w:rsid w:val="0045520E"/>
    <w:rsid w:val="004D07F1"/>
    <w:rsid w:val="0057255A"/>
    <w:rsid w:val="00882C96"/>
    <w:rsid w:val="00A13E0E"/>
    <w:rsid w:val="00B529A4"/>
    <w:rsid w:val="00C175DD"/>
    <w:rsid w:val="00CC7754"/>
    <w:rsid w:val="00E03378"/>
    <w:rsid w:val="00E579C6"/>
    <w:rsid w:val="00ED3CDD"/>
    <w:rsid w:val="00F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131F5FA-42D0-482E-A858-A815021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Cs w:val="32"/>
    </w:rPr>
  </w:style>
  <w:style w:type="character" w:customStyle="1" w:styleId="emailstyle15">
    <w:name w:val="emailstyle15"/>
    <w:basedOn w:val="DefaultParagraphFont"/>
    <w:rsid w:val="00054510"/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D3CDD"/>
    <w:pPr>
      <w:ind w:left="720"/>
      <w:contextualSpacing/>
    </w:pPr>
  </w:style>
  <w:style w:type="paragraph" w:customStyle="1" w:styleId="Default">
    <w:name w:val="Default"/>
    <w:rsid w:val="001F4832"/>
    <w:pPr>
      <w:autoSpaceDE w:val="0"/>
      <w:autoSpaceDN w:val="0"/>
      <w:adjustRightInd w:val="0"/>
    </w:pPr>
    <w:rPr>
      <w:rFonts w:ascii="TeXGyreAdventor" w:eastAsia="Calibri" w:hAnsi="TeXGyreAdventor" w:cs="TeXGyreAdvento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1F4832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6FB3-6F2D-4F08-897F-083B8217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Havering Education Department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Havering Education Department</dc:title>
  <dc:subject/>
  <dc:creator>WORKSTATION</dc:creator>
  <cp:keywords/>
  <dc:description/>
  <cp:lastModifiedBy>Sandra Weston (St Marks Academy)</cp:lastModifiedBy>
  <cp:revision>2</cp:revision>
  <cp:lastPrinted>2017-07-18T14:03:00Z</cp:lastPrinted>
  <dcterms:created xsi:type="dcterms:W3CDTF">2017-07-19T11:13:00Z</dcterms:created>
  <dcterms:modified xsi:type="dcterms:W3CDTF">2017-07-19T11:13:00Z</dcterms:modified>
</cp:coreProperties>
</file>