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F" w:rsidRDefault="00903F01">
      <w:pPr>
        <w:widowControl w:val="0"/>
        <w:pBdr>
          <w:top w:val="nil"/>
          <w:left w:val="nil"/>
          <w:bottom w:val="nil"/>
          <w:right w:val="nil"/>
          <w:between w:val="nil"/>
        </w:pBdr>
        <w:spacing w:line="240" w:lineRule="auto"/>
        <w:jc w:val="center"/>
        <w:rPr>
          <w:b/>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4114800</wp:posOffset>
            </wp:positionH>
            <wp:positionV relativeFrom="paragraph">
              <wp:posOffset>81938</wp:posOffset>
            </wp:positionV>
            <wp:extent cx="1924050" cy="632438"/>
            <wp:effectExtent l="0" t="0" r="0" b="0"/>
            <wp:wrapSquare wrapText="bothSides" distT="0" distB="0" distL="114300" distR="114300"/>
            <wp:docPr id="1" name="image2.jpg" descr="Description: Holyhead_logo+strapline"/>
            <wp:cNvGraphicFramePr/>
            <a:graphic xmlns:a="http://schemas.openxmlformats.org/drawingml/2006/main">
              <a:graphicData uri="http://schemas.openxmlformats.org/drawingml/2006/picture">
                <pic:pic xmlns:pic="http://schemas.openxmlformats.org/drawingml/2006/picture">
                  <pic:nvPicPr>
                    <pic:cNvPr id="0" name="image2.jpg" descr="Description: Holyhead_logo+strapline"/>
                    <pic:cNvPicPr preferRelativeResize="0"/>
                  </pic:nvPicPr>
                  <pic:blipFill>
                    <a:blip r:embed="rId6"/>
                    <a:srcRect/>
                    <a:stretch>
                      <a:fillRect/>
                    </a:stretch>
                  </pic:blipFill>
                  <pic:spPr>
                    <a:xfrm>
                      <a:off x="0" y="0"/>
                      <a:ext cx="1924050" cy="632438"/>
                    </a:xfrm>
                    <a:prstGeom prst="rect">
                      <a:avLst/>
                    </a:prstGeom>
                    <a:ln/>
                  </pic:spPr>
                </pic:pic>
              </a:graphicData>
            </a:graphic>
          </wp:anchor>
        </w:drawing>
      </w:r>
    </w:p>
    <w:p w:rsidR="009A21CF" w:rsidRDefault="009A21CF">
      <w:pPr>
        <w:widowControl w:val="0"/>
        <w:pBdr>
          <w:top w:val="nil"/>
          <w:left w:val="nil"/>
          <w:bottom w:val="nil"/>
          <w:right w:val="nil"/>
          <w:between w:val="nil"/>
        </w:pBdr>
        <w:spacing w:line="240" w:lineRule="auto"/>
        <w:rPr>
          <w:b/>
          <w:sz w:val="24"/>
          <w:szCs w:val="24"/>
        </w:rPr>
      </w:pPr>
    </w:p>
    <w:p w:rsidR="009A21CF" w:rsidRDefault="009A21CF">
      <w:pPr>
        <w:widowControl w:val="0"/>
        <w:pBdr>
          <w:top w:val="nil"/>
          <w:left w:val="nil"/>
          <w:bottom w:val="nil"/>
          <w:right w:val="nil"/>
          <w:between w:val="nil"/>
        </w:pBdr>
        <w:spacing w:line="240" w:lineRule="auto"/>
        <w:rPr>
          <w:b/>
          <w:sz w:val="24"/>
          <w:szCs w:val="24"/>
        </w:rPr>
      </w:pPr>
    </w:p>
    <w:p w:rsidR="009A21CF" w:rsidRDefault="009A21CF">
      <w:pPr>
        <w:widowControl w:val="0"/>
        <w:pBdr>
          <w:top w:val="nil"/>
          <w:left w:val="nil"/>
          <w:bottom w:val="nil"/>
          <w:right w:val="nil"/>
          <w:between w:val="nil"/>
        </w:pBdr>
        <w:spacing w:line="240" w:lineRule="auto"/>
        <w:rPr>
          <w:b/>
          <w:sz w:val="24"/>
          <w:szCs w:val="24"/>
        </w:rPr>
      </w:pPr>
    </w:p>
    <w:p w:rsidR="009A21CF" w:rsidRDefault="009A21CF">
      <w:pPr>
        <w:widowControl w:val="0"/>
        <w:pBdr>
          <w:top w:val="nil"/>
          <w:left w:val="nil"/>
          <w:bottom w:val="nil"/>
          <w:right w:val="nil"/>
          <w:between w:val="nil"/>
        </w:pBdr>
        <w:spacing w:line="240" w:lineRule="auto"/>
        <w:jc w:val="center"/>
        <w:rPr>
          <w:b/>
          <w:sz w:val="24"/>
          <w:szCs w:val="24"/>
        </w:rPr>
      </w:pPr>
    </w:p>
    <w:tbl>
      <w:tblPr>
        <w:tblStyle w:val="a"/>
        <w:tblW w:w="1039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60"/>
      </w:tblGrid>
      <w:tr w:rsidR="009A21CF">
        <w:trPr>
          <w:trHeight w:val="440"/>
        </w:trPr>
        <w:tc>
          <w:tcPr>
            <w:tcW w:w="2835" w:type="dxa"/>
            <w:shd w:val="clear" w:color="auto" w:fill="F1C232"/>
            <w:tcMar>
              <w:top w:w="100" w:type="dxa"/>
              <w:left w:w="100" w:type="dxa"/>
              <w:bottom w:w="100" w:type="dxa"/>
              <w:right w:w="100" w:type="dxa"/>
            </w:tcMar>
          </w:tcPr>
          <w:p w:rsidR="009A21CF" w:rsidRDefault="00903F01">
            <w:pPr>
              <w:widowControl w:val="0"/>
              <w:pBdr>
                <w:top w:val="nil"/>
                <w:left w:val="nil"/>
                <w:bottom w:val="nil"/>
                <w:right w:val="nil"/>
                <w:between w:val="nil"/>
              </w:pBdr>
              <w:spacing w:line="240" w:lineRule="auto"/>
              <w:rPr>
                <w:b/>
              </w:rPr>
            </w:pPr>
            <w:r>
              <w:rPr>
                <w:b/>
              </w:rPr>
              <w:t xml:space="preserve">Post Title and Grade </w:t>
            </w:r>
          </w:p>
        </w:tc>
        <w:tc>
          <w:tcPr>
            <w:tcW w:w="7560" w:type="dxa"/>
            <w:shd w:val="clear" w:color="auto" w:fill="F1C232"/>
            <w:tcMar>
              <w:top w:w="100" w:type="dxa"/>
              <w:left w:w="100" w:type="dxa"/>
              <w:bottom w:w="100" w:type="dxa"/>
              <w:right w:w="100" w:type="dxa"/>
            </w:tcMar>
          </w:tcPr>
          <w:p w:rsidR="009A21CF" w:rsidRDefault="00903F01">
            <w:pPr>
              <w:widowControl w:val="0"/>
              <w:spacing w:line="240" w:lineRule="auto"/>
              <w:jc w:val="both"/>
              <w:rPr>
                <w:b/>
              </w:rPr>
            </w:pPr>
            <w:proofErr w:type="spellStart"/>
            <w:r>
              <w:rPr>
                <w:b/>
              </w:rPr>
              <w:t>SENCo</w:t>
            </w:r>
            <w:proofErr w:type="spellEnd"/>
            <w:r>
              <w:rPr>
                <w:b/>
              </w:rPr>
              <w:t xml:space="preserve"> TLR 2B - (£4,442)</w:t>
            </w:r>
          </w:p>
        </w:tc>
      </w:tr>
      <w:tr w:rsidR="009A21CF">
        <w:trPr>
          <w:trHeight w:val="400"/>
        </w:trPr>
        <w:tc>
          <w:tcPr>
            <w:tcW w:w="2835" w:type="dxa"/>
            <w:tcMar>
              <w:top w:w="100" w:type="dxa"/>
              <w:left w:w="100" w:type="dxa"/>
              <w:bottom w:w="100" w:type="dxa"/>
              <w:right w:w="100" w:type="dxa"/>
            </w:tcMar>
          </w:tcPr>
          <w:p w:rsidR="009A21CF" w:rsidRDefault="00903F01">
            <w:pPr>
              <w:widowControl w:val="0"/>
              <w:pBdr>
                <w:top w:val="nil"/>
                <w:left w:val="nil"/>
                <w:bottom w:val="nil"/>
                <w:right w:val="nil"/>
                <w:between w:val="nil"/>
              </w:pBdr>
              <w:spacing w:line="240" w:lineRule="auto"/>
              <w:rPr>
                <w:b/>
              </w:rPr>
            </w:pPr>
            <w:r>
              <w:rPr>
                <w:b/>
              </w:rPr>
              <w:t>Reporting to</w:t>
            </w:r>
          </w:p>
        </w:tc>
        <w:tc>
          <w:tcPr>
            <w:tcW w:w="7560" w:type="dxa"/>
            <w:tcMar>
              <w:top w:w="100" w:type="dxa"/>
              <w:left w:w="100" w:type="dxa"/>
              <w:bottom w:w="100" w:type="dxa"/>
              <w:right w:w="100" w:type="dxa"/>
            </w:tcMar>
          </w:tcPr>
          <w:p w:rsidR="009A21CF" w:rsidRDefault="00903F01">
            <w:pPr>
              <w:widowControl w:val="0"/>
              <w:pBdr>
                <w:top w:val="nil"/>
                <w:left w:val="nil"/>
                <w:bottom w:val="nil"/>
                <w:right w:val="nil"/>
                <w:between w:val="nil"/>
              </w:pBdr>
              <w:spacing w:line="240" w:lineRule="auto"/>
              <w:rPr>
                <w:b/>
              </w:rPr>
            </w:pPr>
            <w:r>
              <w:t xml:space="preserve">Associate Vice Principal - Teaching and Learning </w:t>
            </w:r>
          </w:p>
        </w:tc>
      </w:tr>
      <w:tr w:rsidR="009A21CF">
        <w:trPr>
          <w:trHeight w:val="400"/>
        </w:trPr>
        <w:tc>
          <w:tcPr>
            <w:tcW w:w="2835" w:type="dxa"/>
            <w:tcMar>
              <w:top w:w="100" w:type="dxa"/>
              <w:left w:w="100" w:type="dxa"/>
              <w:bottom w:w="100" w:type="dxa"/>
              <w:right w:w="100" w:type="dxa"/>
            </w:tcMar>
          </w:tcPr>
          <w:p w:rsidR="009A21CF" w:rsidRDefault="00903F01">
            <w:pPr>
              <w:widowControl w:val="0"/>
              <w:pBdr>
                <w:top w:val="nil"/>
                <w:left w:val="nil"/>
                <w:bottom w:val="nil"/>
                <w:right w:val="nil"/>
                <w:between w:val="nil"/>
              </w:pBdr>
              <w:spacing w:line="240" w:lineRule="auto"/>
              <w:rPr>
                <w:b/>
              </w:rPr>
            </w:pPr>
            <w:r>
              <w:rPr>
                <w:b/>
              </w:rPr>
              <w:t>Liaising with</w:t>
            </w:r>
          </w:p>
        </w:tc>
        <w:tc>
          <w:tcPr>
            <w:tcW w:w="7560" w:type="dxa"/>
            <w:tcMar>
              <w:top w:w="100" w:type="dxa"/>
              <w:left w:w="100" w:type="dxa"/>
              <w:bottom w:w="100" w:type="dxa"/>
              <w:right w:w="100" w:type="dxa"/>
            </w:tcMar>
          </w:tcPr>
          <w:p w:rsidR="009A21CF" w:rsidRDefault="00903F01">
            <w:pPr>
              <w:pBdr>
                <w:top w:val="nil"/>
                <w:left w:val="nil"/>
                <w:bottom w:val="nil"/>
                <w:right w:val="nil"/>
                <w:between w:val="nil"/>
              </w:pBdr>
              <w:spacing w:line="240" w:lineRule="auto"/>
              <w:rPr>
                <w:b/>
              </w:rPr>
            </w:pPr>
            <w:r>
              <w:t>Teaching Staff, Associate Staff, Parents/Carers, External Agencies / Students</w:t>
            </w:r>
          </w:p>
        </w:tc>
      </w:tr>
      <w:tr w:rsidR="009A21CF">
        <w:trPr>
          <w:trHeight w:val="420"/>
        </w:trPr>
        <w:tc>
          <w:tcPr>
            <w:tcW w:w="10395" w:type="dxa"/>
            <w:gridSpan w:val="2"/>
            <w:shd w:val="clear" w:color="auto" w:fill="F1C232"/>
            <w:tcMar>
              <w:top w:w="100" w:type="dxa"/>
              <w:left w:w="100" w:type="dxa"/>
              <w:bottom w:w="100" w:type="dxa"/>
              <w:right w:w="100" w:type="dxa"/>
            </w:tcMar>
          </w:tcPr>
          <w:p w:rsidR="009A21CF" w:rsidRDefault="00903F01">
            <w:pPr>
              <w:widowControl w:val="0"/>
              <w:pBdr>
                <w:top w:val="nil"/>
                <w:left w:val="nil"/>
                <w:bottom w:val="nil"/>
                <w:right w:val="nil"/>
                <w:between w:val="nil"/>
              </w:pBdr>
              <w:spacing w:line="240" w:lineRule="auto"/>
            </w:pPr>
            <w:r>
              <w:rPr>
                <w:b/>
              </w:rPr>
              <w:t>Specific areas of responsibility and Key Tasks</w:t>
            </w:r>
          </w:p>
        </w:tc>
      </w:tr>
      <w:tr w:rsidR="009A21CF">
        <w:trPr>
          <w:trHeight w:val="1000"/>
        </w:trPr>
        <w:tc>
          <w:tcPr>
            <w:tcW w:w="10395" w:type="dxa"/>
            <w:gridSpan w:val="2"/>
            <w:shd w:val="clear" w:color="auto" w:fill="auto"/>
            <w:tcMar>
              <w:top w:w="100" w:type="dxa"/>
              <w:left w:w="100" w:type="dxa"/>
              <w:bottom w:w="100" w:type="dxa"/>
              <w:right w:w="100" w:type="dxa"/>
            </w:tcMar>
          </w:tcPr>
          <w:p w:rsidR="009A21CF" w:rsidRDefault="00903F01">
            <w:pPr>
              <w:widowControl w:val="0"/>
              <w:spacing w:line="240" w:lineRule="auto"/>
              <w:jc w:val="both"/>
              <w:rPr>
                <w:b/>
              </w:rPr>
            </w:pPr>
            <w:r>
              <w:rPr>
                <w:b/>
              </w:rPr>
              <w:t>Core Duties</w:t>
            </w:r>
          </w:p>
          <w:p w:rsidR="009A21CF" w:rsidRDefault="00903F01">
            <w:pPr>
              <w:widowControl w:val="0"/>
              <w:numPr>
                <w:ilvl w:val="0"/>
                <w:numId w:val="8"/>
              </w:numPr>
              <w:spacing w:line="240" w:lineRule="auto"/>
              <w:ind w:left="329" w:hanging="285"/>
              <w:jc w:val="both"/>
            </w:pPr>
            <w:r>
              <w:t>To develop resources in a variety of subject to support students with learning difficulties</w:t>
            </w:r>
          </w:p>
          <w:p w:rsidR="009A21CF" w:rsidRDefault="00903F01">
            <w:pPr>
              <w:widowControl w:val="0"/>
              <w:numPr>
                <w:ilvl w:val="0"/>
                <w:numId w:val="8"/>
              </w:numPr>
              <w:spacing w:line="240" w:lineRule="auto"/>
              <w:ind w:left="329" w:hanging="285"/>
              <w:jc w:val="both"/>
            </w:pPr>
            <w:r>
              <w:t>To teach across the age and ability range</w:t>
            </w:r>
          </w:p>
          <w:p w:rsidR="009A21CF" w:rsidRDefault="00903F01">
            <w:pPr>
              <w:widowControl w:val="0"/>
              <w:numPr>
                <w:ilvl w:val="0"/>
                <w:numId w:val="6"/>
              </w:numPr>
              <w:spacing w:line="240" w:lineRule="auto"/>
              <w:ind w:left="329" w:hanging="285"/>
              <w:jc w:val="both"/>
            </w:pPr>
            <w:r>
              <w:t>To prepare students for external examinations and assessments as directed by the Director of Learning</w:t>
            </w:r>
          </w:p>
        </w:tc>
      </w:tr>
      <w:tr w:rsidR="009A21CF">
        <w:trPr>
          <w:trHeight w:val="1120"/>
        </w:trPr>
        <w:tc>
          <w:tcPr>
            <w:tcW w:w="10395" w:type="dxa"/>
            <w:gridSpan w:val="2"/>
            <w:tcBorders>
              <w:bottom w:val="single" w:sz="4" w:space="0" w:color="000000"/>
            </w:tcBorders>
          </w:tcPr>
          <w:p w:rsidR="009A21CF" w:rsidRDefault="00903F01">
            <w:pPr>
              <w:widowControl w:val="0"/>
              <w:spacing w:line="240" w:lineRule="auto"/>
              <w:jc w:val="both"/>
              <w:rPr>
                <w:b/>
              </w:rPr>
            </w:pPr>
            <w:r>
              <w:rPr>
                <w:b/>
              </w:rPr>
              <w:t>Key Tasks</w:t>
            </w:r>
          </w:p>
          <w:p w:rsidR="009A21CF" w:rsidRDefault="00903F01">
            <w:pPr>
              <w:widowControl w:val="0"/>
              <w:numPr>
                <w:ilvl w:val="0"/>
                <w:numId w:val="1"/>
              </w:numPr>
              <w:spacing w:line="240" w:lineRule="auto"/>
              <w:ind w:left="329" w:hanging="285"/>
              <w:jc w:val="both"/>
            </w:pPr>
            <w:r>
              <w:t>To mark and assess students’ work according to the school/departmental policies</w:t>
            </w:r>
          </w:p>
          <w:p w:rsidR="009A21CF" w:rsidRDefault="00903F01">
            <w:pPr>
              <w:widowControl w:val="0"/>
              <w:numPr>
                <w:ilvl w:val="0"/>
                <w:numId w:val="1"/>
              </w:numPr>
              <w:spacing w:line="240" w:lineRule="auto"/>
              <w:ind w:left="329" w:hanging="285"/>
              <w:jc w:val="both"/>
            </w:pPr>
            <w:r>
              <w:t>To attend and contribute to relevant meetings</w:t>
            </w:r>
          </w:p>
          <w:p w:rsidR="009A21CF" w:rsidRDefault="00903F01">
            <w:pPr>
              <w:widowControl w:val="0"/>
              <w:numPr>
                <w:ilvl w:val="0"/>
                <w:numId w:val="1"/>
              </w:numPr>
              <w:spacing w:line="240" w:lineRule="auto"/>
              <w:ind w:left="329" w:hanging="285"/>
              <w:jc w:val="both"/>
            </w:pPr>
            <w:r>
              <w:t>To prepare students for external examinations and assessments as directed</w:t>
            </w:r>
          </w:p>
          <w:p w:rsidR="009A21CF" w:rsidRDefault="00903F01">
            <w:pPr>
              <w:widowControl w:val="0"/>
              <w:numPr>
                <w:ilvl w:val="0"/>
                <w:numId w:val="1"/>
              </w:numPr>
              <w:spacing w:line="240" w:lineRule="auto"/>
              <w:ind w:left="329" w:hanging="285"/>
              <w:jc w:val="both"/>
            </w:pPr>
            <w:r>
              <w:t>Ensure regular assessments are in place and are used to inform Academic Profiles</w:t>
            </w:r>
          </w:p>
          <w:p w:rsidR="009A21CF" w:rsidRDefault="00903F01">
            <w:pPr>
              <w:widowControl w:val="0"/>
              <w:numPr>
                <w:ilvl w:val="0"/>
                <w:numId w:val="1"/>
              </w:numPr>
              <w:spacing w:line="240" w:lineRule="auto"/>
              <w:ind w:left="329" w:hanging="285"/>
              <w:jc w:val="both"/>
            </w:pPr>
            <w:r>
              <w:t>To monitor student progress including data analysis and, where appropriate put in place intervention</w:t>
            </w:r>
          </w:p>
          <w:p w:rsidR="009A21CF" w:rsidRDefault="00903F01">
            <w:pPr>
              <w:widowControl w:val="0"/>
              <w:numPr>
                <w:ilvl w:val="0"/>
                <w:numId w:val="1"/>
              </w:numPr>
              <w:spacing w:line="240" w:lineRule="auto"/>
              <w:ind w:left="329" w:hanging="285"/>
              <w:jc w:val="both"/>
            </w:pPr>
            <w:r>
              <w:t>Liaise with the Subject Leader/Director Learning when necessary and respond to the Subject Impact reports when required</w:t>
            </w:r>
          </w:p>
          <w:p w:rsidR="009A21CF" w:rsidRDefault="00903F01">
            <w:pPr>
              <w:widowControl w:val="0"/>
              <w:numPr>
                <w:ilvl w:val="0"/>
                <w:numId w:val="1"/>
              </w:numPr>
              <w:spacing w:line="240" w:lineRule="auto"/>
              <w:ind w:left="329" w:hanging="285"/>
              <w:jc w:val="both"/>
            </w:pPr>
            <w:r>
              <w:t>To play a full part in the allocated College Team – including carrying out duties as a Form Tutor, if appropriate</w:t>
            </w:r>
          </w:p>
        </w:tc>
      </w:tr>
      <w:tr w:rsidR="009A21CF">
        <w:trPr>
          <w:trHeight w:val="1120"/>
        </w:trPr>
        <w:tc>
          <w:tcPr>
            <w:tcW w:w="10395" w:type="dxa"/>
            <w:gridSpan w:val="2"/>
            <w:tcMar>
              <w:top w:w="100" w:type="dxa"/>
              <w:left w:w="100" w:type="dxa"/>
              <w:bottom w:w="100" w:type="dxa"/>
              <w:right w:w="100" w:type="dxa"/>
            </w:tcMar>
          </w:tcPr>
          <w:p w:rsidR="009A21CF" w:rsidRDefault="00903F01">
            <w:pPr>
              <w:rPr>
                <w:b/>
              </w:rPr>
            </w:pPr>
            <w:proofErr w:type="spellStart"/>
            <w:r>
              <w:rPr>
                <w:b/>
              </w:rPr>
              <w:t>SENCo</w:t>
            </w:r>
            <w:proofErr w:type="spellEnd"/>
          </w:p>
          <w:p w:rsidR="009A21CF" w:rsidRDefault="00903F01">
            <w:r>
              <w:t>Students</w:t>
            </w:r>
          </w:p>
          <w:p w:rsidR="009A21CF" w:rsidRDefault="00903F01">
            <w:pPr>
              <w:numPr>
                <w:ilvl w:val="0"/>
                <w:numId w:val="11"/>
              </w:numPr>
              <w:contextualSpacing/>
            </w:pPr>
            <w:r>
              <w:t>Assess underlying needs in identified students through use of learning walks, book looks, staff, student and parent feedback</w:t>
            </w:r>
          </w:p>
          <w:p w:rsidR="009A21CF" w:rsidRDefault="00903F01">
            <w:pPr>
              <w:numPr>
                <w:ilvl w:val="0"/>
                <w:numId w:val="11"/>
              </w:numPr>
              <w:contextualSpacing/>
            </w:pPr>
            <w:r>
              <w:t>Regularly collect student voice of identified SEND students to ascertain accessibility of their lessons through use of QFT, share f</w:t>
            </w:r>
            <w:r>
              <w:t xml:space="preserve">indings with the </w:t>
            </w:r>
            <w:proofErr w:type="spellStart"/>
            <w:r>
              <w:t>SHoC</w:t>
            </w:r>
            <w:proofErr w:type="spellEnd"/>
            <w:r>
              <w:t>/</w:t>
            </w:r>
            <w:proofErr w:type="spellStart"/>
            <w:r>
              <w:t>HoC</w:t>
            </w:r>
            <w:proofErr w:type="spellEnd"/>
            <w:r>
              <w:t>/ Senior Leadership Team</w:t>
            </w:r>
          </w:p>
        </w:tc>
      </w:tr>
      <w:tr w:rsidR="009A21CF">
        <w:trPr>
          <w:trHeight w:val="780"/>
        </w:trPr>
        <w:tc>
          <w:tcPr>
            <w:tcW w:w="10395" w:type="dxa"/>
            <w:gridSpan w:val="2"/>
            <w:tcMar>
              <w:top w:w="100" w:type="dxa"/>
              <w:left w:w="100" w:type="dxa"/>
              <w:bottom w:w="100" w:type="dxa"/>
              <w:right w:w="100" w:type="dxa"/>
            </w:tcMar>
          </w:tcPr>
          <w:p w:rsidR="009A21CF" w:rsidRDefault="00903F01">
            <w:pPr>
              <w:rPr>
                <w:b/>
              </w:rPr>
            </w:pPr>
            <w:r>
              <w:rPr>
                <w:b/>
              </w:rPr>
              <w:t>Parents</w:t>
            </w:r>
          </w:p>
          <w:p w:rsidR="009A21CF" w:rsidRDefault="00903F01">
            <w:pPr>
              <w:numPr>
                <w:ilvl w:val="0"/>
                <w:numId w:val="2"/>
              </w:numPr>
            </w:pPr>
            <w:r>
              <w:t>Support HLTAs to run coffee mornings for parents of identified groups of students</w:t>
            </w:r>
          </w:p>
          <w:p w:rsidR="009A21CF" w:rsidRDefault="00903F01">
            <w:pPr>
              <w:numPr>
                <w:ilvl w:val="0"/>
                <w:numId w:val="2"/>
              </w:numPr>
            </w:pPr>
            <w:r>
              <w:t>Be the second (HLTAs first) port of call to parents with issues</w:t>
            </w:r>
          </w:p>
        </w:tc>
      </w:tr>
      <w:tr w:rsidR="009A21CF">
        <w:trPr>
          <w:trHeight w:val="780"/>
        </w:trPr>
        <w:tc>
          <w:tcPr>
            <w:tcW w:w="10395" w:type="dxa"/>
            <w:gridSpan w:val="2"/>
            <w:tcMar>
              <w:top w:w="100" w:type="dxa"/>
              <w:left w:w="100" w:type="dxa"/>
              <w:bottom w:w="100" w:type="dxa"/>
              <w:right w:w="100" w:type="dxa"/>
            </w:tcMar>
          </w:tcPr>
          <w:p w:rsidR="009A21CF" w:rsidRDefault="00903F01">
            <w:r>
              <w:t>Staff</w:t>
            </w:r>
          </w:p>
          <w:p w:rsidR="009A21CF" w:rsidRDefault="00903F01">
            <w:pPr>
              <w:numPr>
                <w:ilvl w:val="0"/>
                <w:numId w:val="7"/>
              </w:numPr>
              <w:contextualSpacing/>
            </w:pPr>
            <w:r>
              <w:t>Contribute to SEND based CPD at every level (from 1:1 staff advice to small ITT sessions and whole school CPD)</w:t>
            </w:r>
          </w:p>
          <w:p w:rsidR="009A21CF" w:rsidRDefault="00903F01">
            <w:pPr>
              <w:numPr>
                <w:ilvl w:val="0"/>
                <w:numId w:val="7"/>
              </w:numPr>
              <w:contextualSpacing/>
            </w:pPr>
            <w:r>
              <w:t>Liaise with external agents, i.e. Educational psychologist, student and school support, teacher of the deaf, NHS nurses, communication and autism</w:t>
            </w:r>
            <w:r>
              <w:t xml:space="preserve"> agent, etc.</w:t>
            </w:r>
          </w:p>
          <w:p w:rsidR="009A21CF" w:rsidRDefault="00903F01">
            <w:pPr>
              <w:numPr>
                <w:ilvl w:val="0"/>
                <w:numId w:val="7"/>
              </w:numPr>
              <w:contextualSpacing/>
            </w:pPr>
            <w:r>
              <w:t xml:space="preserve">Lead weekly early morning departmental meetings with HLTAs </w:t>
            </w:r>
          </w:p>
        </w:tc>
      </w:tr>
      <w:tr w:rsidR="009A21CF">
        <w:trPr>
          <w:trHeight w:val="420"/>
        </w:trPr>
        <w:tc>
          <w:tcPr>
            <w:tcW w:w="10395" w:type="dxa"/>
            <w:gridSpan w:val="2"/>
            <w:tcMar>
              <w:top w:w="100" w:type="dxa"/>
              <w:left w:w="100" w:type="dxa"/>
              <w:bottom w:w="100" w:type="dxa"/>
              <w:right w:w="100" w:type="dxa"/>
            </w:tcMar>
          </w:tcPr>
          <w:p w:rsidR="009A21CF" w:rsidRDefault="00903F01">
            <w:r>
              <w:t>Governors</w:t>
            </w:r>
          </w:p>
          <w:p w:rsidR="009A21CF" w:rsidRDefault="00903F01">
            <w:pPr>
              <w:numPr>
                <w:ilvl w:val="0"/>
                <w:numId w:val="3"/>
              </w:numPr>
              <w:contextualSpacing/>
            </w:pPr>
            <w:r>
              <w:t>Feedback to the identified SEND Governor as and when required</w:t>
            </w:r>
          </w:p>
        </w:tc>
      </w:tr>
      <w:tr w:rsidR="009A21CF">
        <w:trPr>
          <w:trHeight w:val="440"/>
        </w:trPr>
        <w:tc>
          <w:tcPr>
            <w:tcW w:w="10395" w:type="dxa"/>
            <w:gridSpan w:val="2"/>
            <w:tcMar>
              <w:top w:w="100" w:type="dxa"/>
              <w:left w:w="100" w:type="dxa"/>
              <w:bottom w:w="100" w:type="dxa"/>
              <w:right w:w="100" w:type="dxa"/>
            </w:tcMar>
          </w:tcPr>
          <w:p w:rsidR="009A21CF" w:rsidRDefault="00903F01">
            <w:r>
              <w:t xml:space="preserve">Administration </w:t>
            </w:r>
          </w:p>
          <w:p w:rsidR="009A21CF" w:rsidRDefault="00903F01">
            <w:pPr>
              <w:numPr>
                <w:ilvl w:val="0"/>
                <w:numId w:val="4"/>
              </w:numPr>
              <w:contextualSpacing/>
            </w:pPr>
            <w:r>
              <w:t>Be the named SEND representative for the school with regards to SENAR</w:t>
            </w:r>
          </w:p>
          <w:p w:rsidR="009A21CF" w:rsidRDefault="00903F01">
            <w:pPr>
              <w:numPr>
                <w:ilvl w:val="0"/>
                <w:numId w:val="10"/>
              </w:numPr>
              <w:contextualSpacing/>
            </w:pPr>
            <w:r>
              <w:t>Be the first port of call to the HLTAs for SLIP production and distribution</w:t>
            </w:r>
          </w:p>
          <w:p w:rsidR="009A21CF" w:rsidRDefault="00903F01">
            <w:pPr>
              <w:numPr>
                <w:ilvl w:val="0"/>
                <w:numId w:val="10"/>
              </w:numPr>
              <w:contextualSpacing/>
            </w:pPr>
            <w:r>
              <w:t>Maintain a database of behaviour logs, inclusion/exclusion and attendance percentages of all students on the SEND register</w:t>
            </w:r>
          </w:p>
          <w:p w:rsidR="009A21CF" w:rsidRDefault="00903F01">
            <w:pPr>
              <w:numPr>
                <w:ilvl w:val="0"/>
                <w:numId w:val="10"/>
              </w:numPr>
              <w:contextualSpacing/>
            </w:pPr>
            <w:r>
              <w:t xml:space="preserve">Oversee the targeted lunchtime development groups run by </w:t>
            </w:r>
            <w:r>
              <w:t xml:space="preserve">TAs and use effective data to </w:t>
            </w:r>
            <w:r>
              <w:lastRenderedPageBreak/>
              <w:t>measure impact of intervention</w:t>
            </w:r>
          </w:p>
          <w:p w:rsidR="009A21CF" w:rsidRDefault="00903F01">
            <w:pPr>
              <w:numPr>
                <w:ilvl w:val="0"/>
                <w:numId w:val="10"/>
              </w:numPr>
              <w:contextualSpacing/>
            </w:pPr>
            <w:r>
              <w:t>Oversee the SEND workflow to ensure processes and systems are followed from staff concern to completion of ‘next steps’</w:t>
            </w:r>
          </w:p>
          <w:p w:rsidR="009A21CF" w:rsidRDefault="00903F01">
            <w:pPr>
              <w:numPr>
                <w:ilvl w:val="0"/>
                <w:numId w:val="10"/>
              </w:numPr>
              <w:contextualSpacing/>
            </w:pPr>
            <w:r>
              <w:t>Provide support to HLTAs with the logistics of their whole year testing sch</w:t>
            </w:r>
            <w:r>
              <w:t>edules, I.e. Help timetable the dyslexia screening in year 7, etc.</w:t>
            </w:r>
          </w:p>
          <w:p w:rsidR="009A21CF" w:rsidRDefault="00903F01">
            <w:pPr>
              <w:numPr>
                <w:ilvl w:val="0"/>
                <w:numId w:val="10"/>
              </w:numPr>
              <w:contextualSpacing/>
            </w:pPr>
            <w:r>
              <w:t>Meet after school weekly with the Vice Principal - Safeguarding and Wellbeing and Associate Vice Principal - Teaching Learning  to share progress of students, concerns of staff and parents and patterns in data</w:t>
            </w:r>
          </w:p>
        </w:tc>
      </w:tr>
      <w:tr w:rsidR="009A21CF">
        <w:trPr>
          <w:trHeight w:val="440"/>
        </w:trPr>
        <w:tc>
          <w:tcPr>
            <w:tcW w:w="10395" w:type="dxa"/>
            <w:gridSpan w:val="2"/>
            <w:tcBorders>
              <w:bottom w:val="single" w:sz="4" w:space="0" w:color="000000"/>
            </w:tcBorders>
            <w:shd w:val="clear" w:color="auto" w:fill="F1C232"/>
          </w:tcPr>
          <w:p w:rsidR="009A21CF" w:rsidRDefault="00903F01">
            <w:pPr>
              <w:widowControl w:val="0"/>
              <w:spacing w:line="240" w:lineRule="auto"/>
              <w:jc w:val="both"/>
            </w:pPr>
            <w:r>
              <w:rPr>
                <w:b/>
              </w:rPr>
              <w:lastRenderedPageBreak/>
              <w:t>Other Specific Duties</w:t>
            </w:r>
          </w:p>
        </w:tc>
      </w:tr>
      <w:tr w:rsidR="009A21CF">
        <w:trPr>
          <w:trHeight w:val="440"/>
        </w:trPr>
        <w:tc>
          <w:tcPr>
            <w:tcW w:w="10395" w:type="dxa"/>
            <w:gridSpan w:val="2"/>
          </w:tcPr>
          <w:p w:rsidR="009A21CF" w:rsidRDefault="009A21CF">
            <w:pPr>
              <w:widowControl w:val="0"/>
              <w:spacing w:line="240" w:lineRule="auto"/>
              <w:jc w:val="both"/>
            </w:pPr>
          </w:p>
          <w:p w:rsidR="009A21CF" w:rsidRDefault="00903F01">
            <w:pPr>
              <w:widowControl w:val="0"/>
              <w:numPr>
                <w:ilvl w:val="0"/>
                <w:numId w:val="12"/>
              </w:numPr>
              <w:spacing w:line="240" w:lineRule="auto"/>
              <w:contextualSpacing/>
              <w:jc w:val="both"/>
            </w:pPr>
            <w:r>
              <w:t>To continue personal development as agreed</w:t>
            </w:r>
          </w:p>
          <w:p w:rsidR="009A21CF" w:rsidRDefault="00903F01">
            <w:pPr>
              <w:widowControl w:val="0"/>
              <w:numPr>
                <w:ilvl w:val="0"/>
                <w:numId w:val="9"/>
              </w:numPr>
              <w:spacing w:line="240" w:lineRule="auto"/>
              <w:contextualSpacing/>
              <w:jc w:val="both"/>
            </w:pPr>
            <w:r>
              <w:t>To engage actively in the performance review process</w:t>
            </w:r>
          </w:p>
          <w:p w:rsidR="009A21CF" w:rsidRDefault="00903F01">
            <w:pPr>
              <w:widowControl w:val="0"/>
              <w:numPr>
                <w:ilvl w:val="0"/>
                <w:numId w:val="5"/>
              </w:numPr>
              <w:spacing w:line="240" w:lineRule="auto"/>
              <w:contextualSpacing/>
              <w:jc w:val="both"/>
            </w:pPr>
            <w:r>
              <w:t>To undertake any other duty as specified by the School Teachers’ Pay and Conditions Document not mentioned in the above</w:t>
            </w:r>
          </w:p>
          <w:p w:rsidR="009A21CF" w:rsidRDefault="00903F01">
            <w:pPr>
              <w:widowControl w:val="0"/>
              <w:numPr>
                <w:ilvl w:val="0"/>
                <w:numId w:val="5"/>
              </w:numPr>
              <w:spacing w:line="240" w:lineRule="auto"/>
              <w:contextualSpacing/>
              <w:jc w:val="both"/>
            </w:pPr>
            <w:r>
              <w:t>Whilst every effort has been made to exp</w:t>
            </w:r>
            <w:r>
              <w:t>lain the main duties and responsibilities of the post, each individual task to be undertaken may not be identified</w:t>
            </w:r>
          </w:p>
          <w:p w:rsidR="009A21CF" w:rsidRDefault="00903F01">
            <w:pPr>
              <w:widowControl w:val="0"/>
              <w:numPr>
                <w:ilvl w:val="0"/>
                <w:numId w:val="5"/>
              </w:numPr>
              <w:spacing w:line="240" w:lineRule="auto"/>
              <w:contextualSpacing/>
              <w:jc w:val="both"/>
            </w:pPr>
            <w:r>
              <w:t>Employees will be expected to comply with any reasonable request from a manager to undertake work of a similar level that is not specified in</w:t>
            </w:r>
            <w:r>
              <w:t xml:space="preserve"> this job description</w:t>
            </w:r>
          </w:p>
          <w:p w:rsidR="009A21CF" w:rsidRDefault="00903F01">
            <w:pPr>
              <w:widowControl w:val="0"/>
              <w:numPr>
                <w:ilvl w:val="0"/>
                <w:numId w:val="5"/>
              </w:numPr>
              <w:spacing w:line="240" w:lineRule="auto"/>
              <w:contextualSpacing/>
              <w:jc w:val="both"/>
            </w:pPr>
            <w:r>
              <w:t>Employees are expected to adhere to Holyhead’s agreed Code of Conduct</w:t>
            </w:r>
          </w:p>
          <w:p w:rsidR="009A21CF" w:rsidRDefault="009A21CF">
            <w:pPr>
              <w:widowControl w:val="0"/>
              <w:spacing w:line="240" w:lineRule="auto"/>
              <w:jc w:val="both"/>
            </w:pPr>
          </w:p>
          <w:p w:rsidR="009A21CF" w:rsidRDefault="00903F01">
            <w:pPr>
              <w:widowControl w:val="0"/>
              <w:spacing w:line="240" w:lineRule="auto"/>
              <w:jc w:val="center"/>
              <w:rPr>
                <w:i/>
              </w:rPr>
            </w:pPr>
            <w:r>
              <w:rPr>
                <w:i/>
              </w:rPr>
              <w:t>The school will endeavour to make any necessary reasonable adjustments to the job and the working environment to enable access to employment opportunities for disabled job applicants or continued employment for any employee who develops a disabling conditi</w:t>
            </w:r>
            <w:r>
              <w:rPr>
                <w:i/>
              </w:rPr>
              <w:t>on This job description is current at the date shown but in consultation with the post holder may be changed by the Principal to reflect or anticipate changes in the job commensurate with the grade and job title.</w:t>
            </w:r>
          </w:p>
        </w:tc>
      </w:tr>
    </w:tbl>
    <w:p w:rsidR="009A21CF" w:rsidRDefault="009A21CF">
      <w:pPr>
        <w:pBdr>
          <w:top w:val="nil"/>
          <w:left w:val="nil"/>
          <w:bottom w:val="nil"/>
          <w:right w:val="nil"/>
          <w:between w:val="nil"/>
        </w:pBdr>
      </w:pPr>
    </w:p>
    <w:sectPr w:rsidR="009A21CF">
      <w:pgSz w:w="11906" w:h="16838"/>
      <w:pgMar w:top="283"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B5A"/>
    <w:multiLevelType w:val="multilevel"/>
    <w:tmpl w:val="B266978A"/>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1B91978"/>
    <w:multiLevelType w:val="multilevel"/>
    <w:tmpl w:val="68D0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3F4D0E"/>
    <w:multiLevelType w:val="multilevel"/>
    <w:tmpl w:val="9AEA6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1E26B6"/>
    <w:multiLevelType w:val="multilevel"/>
    <w:tmpl w:val="BA3A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AF62B7"/>
    <w:multiLevelType w:val="multilevel"/>
    <w:tmpl w:val="9CF2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8B2725"/>
    <w:multiLevelType w:val="multilevel"/>
    <w:tmpl w:val="C944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0F3692"/>
    <w:multiLevelType w:val="multilevel"/>
    <w:tmpl w:val="7932FB62"/>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59A963E5"/>
    <w:multiLevelType w:val="multilevel"/>
    <w:tmpl w:val="20A25F72"/>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5C154CB0"/>
    <w:multiLevelType w:val="multilevel"/>
    <w:tmpl w:val="6248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5C3F69"/>
    <w:multiLevelType w:val="multilevel"/>
    <w:tmpl w:val="9D50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A55076"/>
    <w:multiLevelType w:val="multilevel"/>
    <w:tmpl w:val="18E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456DA8"/>
    <w:multiLevelType w:val="multilevel"/>
    <w:tmpl w:val="441A0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8"/>
  </w:num>
  <w:num w:numId="4">
    <w:abstractNumId w:val="2"/>
  </w:num>
  <w:num w:numId="5">
    <w:abstractNumId w:val="10"/>
  </w:num>
  <w:num w:numId="6">
    <w:abstractNumId w:val="7"/>
  </w:num>
  <w:num w:numId="7">
    <w:abstractNumId w:val="1"/>
  </w:num>
  <w:num w:numId="8">
    <w:abstractNumId w:val="6"/>
  </w:num>
  <w:num w:numId="9">
    <w:abstractNumId w:val="4"/>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21CF"/>
    <w:rsid w:val="00903F01"/>
    <w:rsid w:val="009A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dcterms:created xsi:type="dcterms:W3CDTF">2018-06-13T10:19:00Z</dcterms:created>
  <dcterms:modified xsi:type="dcterms:W3CDTF">2018-06-13T10:19:00Z</dcterms:modified>
</cp:coreProperties>
</file>