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b/>
          <w:color w:val="505050" w:themeColor="text1"/>
          <w:u w:val="single"/>
        </w:rPr>
      </w:pPr>
      <w:r>
        <w:rPr>
          <w:b/>
          <w:noProof/>
          <w:color w:val="505050" w:themeColor="text1"/>
          <w:u w:val="single"/>
        </w:rPr>
        <w:drawing>
          <wp:anchor distT="0" distB="0" distL="114300" distR="114300" simplePos="0" relativeHeight="251658752" behindDoc="0" locked="0" layoutInCell="1" allowOverlap="1">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pPr>
        <w:rPr>
          <w:b/>
          <w:color w:val="505050" w:themeColor="text1"/>
          <w:u w:val="single"/>
        </w:rPr>
      </w:pPr>
    </w:p>
    <w:p>
      <w:pPr>
        <w:rPr>
          <w:b/>
          <w:color w:val="505050" w:themeColor="text1"/>
          <w:u w:val="single"/>
        </w:rPr>
      </w:pPr>
    </w:p>
    <w:p>
      <w:pPr>
        <w:rPr>
          <w:b/>
          <w:color w:val="505050" w:themeColor="text1"/>
          <w:u w:val="single"/>
        </w:rPr>
      </w:pPr>
    </w:p>
    <w:p>
      <w:pPr>
        <w:rPr>
          <w:b/>
          <w:color w:val="505050" w:themeColor="text1"/>
          <w:u w:val="single"/>
        </w:rPr>
      </w:pPr>
    </w:p>
    <w:p>
      <w:pPr>
        <w:rPr>
          <w:b/>
          <w:color w:val="505050" w:themeColor="text1"/>
          <w:u w:val="single"/>
        </w:rPr>
      </w:pPr>
    </w:p>
    <w:p>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144145</wp:posOffset>
                </wp:positionH>
                <wp:positionV relativeFrom="paragraph">
                  <wp:posOffset>467300</wp:posOffset>
                </wp:positionV>
                <wp:extent cx="5829300" cy="869400"/>
                <wp:effectExtent l="0" t="0" r="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Classteacher: Computing</w:t>
                            </w:r>
                          </w:p>
                          <w:p>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pPr>
                              <w:jc w:val="center"/>
                              <w:rPr>
                                <w:rFonts w:cs="Arial"/>
                                <w:color w:val="FFFFFF" w:themeColor="background1"/>
                                <w:sz w:val="16"/>
                                <w:szCs w:val="16"/>
                              </w:rPr>
                            </w:pPr>
                          </w:p>
                          <w:p>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35pt;margin-top:36.8pt;width:459pt;height:6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BZ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" filled="f" stroked="f">
                <v:textbox>
                  <w:txbxContent>
                    <w:p>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Classteacher: Computing</w:t>
                      </w:r>
                    </w:p>
                    <w:p>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pPr>
                        <w:jc w:val="center"/>
                        <w:rPr>
                          <w:rFonts w:cs="Arial"/>
                          <w:color w:val="FFFFFF" w:themeColor="background1"/>
                          <w:sz w:val="16"/>
                          <w:szCs w:val="16"/>
                        </w:rPr>
                      </w:pPr>
                    </w:p>
                    <w:p>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Pr>
          <w:b/>
          <w:color w:val="505050" w:themeColor="text1"/>
          <w:u w:val="single"/>
        </w:rPr>
        <w:softHyphen/>
      </w:r>
      <w:r>
        <w:rPr>
          <w:b/>
          <w:color w:val="505050" w:themeColor="text1"/>
          <w:u w:val="single"/>
        </w:rPr>
        <w:softHyphen/>
      </w:r>
      <w:r>
        <w:rPr>
          <w:b/>
          <w:color w:val="505050" w:themeColor="text1"/>
          <w:u w:val="single"/>
        </w:rPr>
        <w:softHyphen/>
      </w:r>
      <w:r>
        <w:rPr>
          <w:b/>
          <w:color w:val="505050" w:themeColor="text1"/>
          <w:u w:val="single"/>
        </w:rPr>
        <w:softHyphen/>
      </w:r>
    </w:p>
    <w:p>
      <w:pPr>
        <w:jc w:val="center"/>
        <w:rPr>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rPr>
          <w:rFonts w:cs="Arial"/>
          <w:b/>
          <w:color w:val="505050" w:themeColor="text1"/>
          <w:sz w:val="28"/>
          <w:szCs w:val="28"/>
        </w:rPr>
      </w:pPr>
      <w:r>
        <w:rPr>
          <w:rFonts w:cs="Arial"/>
          <w:b/>
          <w:color w:val="505050" w:themeColor="text1"/>
          <w:sz w:val="28"/>
          <w:szCs w:val="28"/>
        </w:rPr>
        <w:br w:type="page"/>
      </w:r>
    </w:p>
    <w:p>
      <w:pPr>
        <w:pStyle w:val="Heading1"/>
        <w:rPr>
          <w:sz w:val="40"/>
          <w:szCs w:val="40"/>
        </w:rPr>
      </w:pPr>
      <w:r>
        <w:rPr>
          <w:sz w:val="40"/>
          <w:szCs w:val="40"/>
        </w:rPr>
        <w:lastRenderedPageBreak/>
        <w:t>Contents</w:t>
      </w:r>
    </w:p>
    <w:p/>
    <w:p/>
    <w:p>
      <w:pPr>
        <w:tabs>
          <w:tab w:val="left" w:pos="7200"/>
        </w:tabs>
        <w:jc w:val="center"/>
        <w:rPr>
          <w:rFonts w:cs="Arial"/>
          <w:color w:val="505050" w:themeColor="text1"/>
        </w:rPr>
      </w:pPr>
    </w:p>
    <w:p>
      <w:pPr>
        <w:jc w:val="center"/>
        <w:rPr>
          <w:rFonts w:cs="Arial"/>
          <w:color w:val="505050" w:themeColor="text1"/>
          <w:sz w:val="32"/>
          <w:szCs w:val="32"/>
        </w:rPr>
      </w:pPr>
      <w:r>
        <w:rPr>
          <w:rFonts w:cs="Arial"/>
          <w:color w:val="505050" w:themeColor="text1"/>
          <w:sz w:val="32"/>
          <w:szCs w:val="32"/>
        </w:rPr>
        <w:t>Selection Arrangements</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Headteacher</w:t>
      </w:r>
      <w:proofErr w:type="spellEnd"/>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Our Vision</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Job Description &amp; Person Specification</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Recruitment and Selection Statement</w:t>
      </w:r>
    </w:p>
    <w:p>
      <w:pPr>
        <w:pStyle w:val="Heading2"/>
      </w:pPr>
      <w:r>
        <w:rPr>
          <w:sz w:val="28"/>
          <w:szCs w:val="28"/>
        </w:rPr>
        <w:br w:type="page"/>
      </w:r>
      <w:r>
        <w:lastRenderedPageBreak/>
        <w:t>Appointment of classteacher: Computing</w:t>
      </w:r>
    </w:p>
    <w:p>
      <w:pPr>
        <w:jc w:val="both"/>
        <w:rPr>
          <w:rFonts w:cs="Arial"/>
          <w:b/>
          <w:color w:val="505050" w:themeColor="text1"/>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pPr>
              <w:spacing w:before="80" w:after="80"/>
              <w:jc w:val="both"/>
              <w:rPr>
                <w:rFonts w:cs="Arial"/>
                <w:b/>
                <w:color w:val="505050" w:themeColor="text1"/>
              </w:rPr>
            </w:pPr>
            <w:r>
              <w:rPr>
                <w:rFonts w:cs="Arial"/>
                <w:b/>
                <w:color w:val="505050" w:themeColor="text1"/>
              </w:rPr>
              <w:t>The Ongar Academy</w:t>
            </w:r>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pPr>
              <w:spacing w:before="80" w:after="80"/>
              <w:jc w:val="both"/>
              <w:rPr>
                <w:rFonts w:cs="Arial"/>
                <w:b/>
                <w:color w:val="505050" w:themeColor="text1"/>
              </w:rPr>
            </w:pPr>
            <w:r>
              <w:rPr>
                <w:rFonts w:cs="Arial"/>
                <w:b/>
                <w:color w:val="505050" w:themeColor="text1"/>
              </w:rPr>
              <w:t>01277 500990</w:t>
            </w:r>
          </w:p>
        </w:tc>
      </w:tr>
      <w:tr>
        <w:tc>
          <w:tcPr>
            <w:tcW w:w="2794" w:type="dxa"/>
            <w:shd w:val="clear" w:color="auto" w:fill="00AF6A" w:themeFill="accent1"/>
          </w:tcPr>
          <w:p>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pPr>
              <w:spacing w:before="80" w:after="80"/>
              <w:jc w:val="both"/>
              <w:rPr>
                <w:rFonts w:cs="Arial"/>
                <w:b/>
                <w:color w:val="505050" w:themeColor="text1"/>
              </w:rPr>
            </w:pPr>
            <w:hyperlink r:id="rId10" w:history="1">
              <w:r>
                <w:rPr>
                  <w:rStyle w:val="Hyperlink"/>
                  <w:rFonts w:cs="Arial"/>
                  <w:b/>
                  <w:color w:val="505050" w:themeColor="text1"/>
                </w:rPr>
                <w:t>www.theongaracademy.org</w:t>
              </w:r>
            </w:hyperlink>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pPr>
              <w:spacing w:before="80"/>
              <w:rPr>
                <w:rFonts w:cs="Arial"/>
                <w:b/>
                <w:bCs/>
                <w:color w:val="505050" w:themeColor="text1"/>
                <w:szCs w:val="23"/>
              </w:rPr>
            </w:pPr>
            <w:r>
              <w:rPr>
                <w:rFonts w:cs="Arial"/>
                <w:b/>
                <w:bCs/>
                <w:color w:val="505050" w:themeColor="text1"/>
                <w:szCs w:val="23"/>
              </w:rPr>
              <w:t xml:space="preserve">Main Scale + London Fringe </w:t>
            </w:r>
          </w:p>
          <w:p>
            <w:pPr>
              <w:spacing w:before="80"/>
              <w:rPr>
                <w:rFonts w:cs="Arial"/>
                <w:b/>
                <w:color w:val="505050" w:themeColor="text1"/>
              </w:rPr>
            </w:pPr>
            <w:r>
              <w:rPr>
                <w:rFonts w:cs="Arial"/>
                <w:b/>
                <w:bCs/>
                <w:color w:val="505050" w:themeColor="text1"/>
                <w:szCs w:val="23"/>
              </w:rPr>
              <w:t>R&amp;R available for a suitable candidate</w:t>
            </w:r>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pPr>
              <w:spacing w:before="80"/>
              <w:jc w:val="both"/>
              <w:rPr>
                <w:rFonts w:cs="Arial"/>
                <w:b/>
                <w:color w:val="505050" w:themeColor="text1"/>
              </w:rPr>
            </w:pPr>
            <w:r>
              <w:rPr>
                <w:rFonts w:cs="Arial"/>
                <w:b/>
                <w:color w:val="505050" w:themeColor="text1"/>
              </w:rPr>
              <w:t xml:space="preserve">September 2017 </w:t>
            </w:r>
          </w:p>
        </w:tc>
      </w:tr>
    </w:tbl>
    <w:p>
      <w:pPr>
        <w:jc w:val="both"/>
        <w:rPr>
          <w:rFonts w:cs="Arial"/>
          <w:color w:val="505050" w:themeColor="text1"/>
        </w:rPr>
      </w:pPr>
    </w:p>
    <w:p>
      <w:pPr>
        <w:pStyle w:val="Heading3"/>
      </w:pPr>
      <w:r>
        <w:t>Selection Arrangements - The Process</w:t>
      </w:r>
    </w:p>
    <w:p>
      <w:pPr>
        <w:ind w:right="-331"/>
        <w:rPr>
          <w:rFonts w:cs="Arial"/>
          <w:color w:val="505050" w:themeColor="text1"/>
        </w:rPr>
      </w:pPr>
    </w:p>
    <w:p>
      <w:pPr>
        <w:rPr>
          <w:rFonts w:cs="Arial"/>
          <w:color w:val="505050" w:themeColor="text1"/>
        </w:rPr>
      </w:pPr>
      <w:r>
        <w:rPr>
          <w:rFonts w:cs="Arial"/>
          <w:color w:val="505050" w:themeColor="text1"/>
        </w:rPr>
        <w:t xml:space="preserve">Thank you for your interest in the post of </w:t>
      </w:r>
      <w:proofErr w:type="spellStart"/>
      <w:r>
        <w:rPr>
          <w:rFonts w:cs="Arial"/>
          <w:b/>
          <w:color w:val="505050" w:themeColor="text1"/>
        </w:rPr>
        <w:t>Classteacher</w:t>
      </w:r>
      <w:proofErr w:type="spellEnd"/>
      <w:r>
        <w:rPr>
          <w:rFonts w:cs="Arial"/>
          <w:b/>
          <w:color w:val="505050" w:themeColor="text1"/>
        </w:rPr>
        <w:t>: Computing</w:t>
      </w:r>
      <w:r>
        <w:rPr>
          <w:rFonts w:cs="Arial"/>
          <w:color w:val="505050" w:themeColor="text1"/>
        </w:rPr>
        <w:t xml:space="preserve"> for </w:t>
      </w:r>
      <w:r>
        <w:rPr>
          <w:rFonts w:cs="Arial"/>
          <w:b/>
          <w:color w:val="505050" w:themeColor="text1"/>
        </w:rPr>
        <w:t>The Ongar Academy</w:t>
      </w:r>
      <w:r>
        <w:rPr>
          <w:rFonts w:cs="Arial"/>
          <w:color w:val="505050" w:themeColor="text1"/>
        </w:rPr>
        <w:t>.</w:t>
      </w:r>
    </w:p>
    <w:p>
      <w:pPr>
        <w:rPr>
          <w:rFonts w:cs="Arial"/>
          <w:color w:val="505050" w:themeColor="text1"/>
        </w:rPr>
      </w:pPr>
    </w:p>
    <w:p>
      <w:pPr>
        <w:rPr>
          <w:rFonts w:cs="Arial"/>
          <w:color w:val="505050" w:themeColor="text1"/>
        </w:rPr>
      </w:pPr>
      <w:r>
        <w:rPr>
          <w:rFonts w:cs="Arial"/>
          <w:color w:val="505050" w:themeColor="text1"/>
        </w:rPr>
        <w:t>We would encourage you to apply for this post on-line via the TES online advert page.</w:t>
      </w:r>
    </w:p>
    <w:p>
      <w:pPr>
        <w:rPr>
          <w:rFonts w:cs="Arial"/>
          <w:color w:val="505050" w:themeColor="text1"/>
        </w:rPr>
      </w:pPr>
    </w:p>
    <w:p>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pPr>
        <w:ind w:right="-331"/>
        <w:rPr>
          <w:rFonts w:cs="Arial"/>
          <w:color w:val="505050" w:themeColor="text1"/>
        </w:rPr>
      </w:pPr>
    </w:p>
    <w:p>
      <w:pPr>
        <w:pStyle w:val="BodyTextIndent"/>
        <w:ind w:left="0" w:right="-331"/>
        <w:jc w:val="left"/>
        <w:rPr>
          <w:rFonts w:ascii="Arial" w:hAnsi="Arial" w:cs="Arial"/>
          <w:color w:val="505050" w:themeColor="text1"/>
          <w:sz w:val="24"/>
          <w:szCs w:val="24"/>
        </w:rPr>
      </w:pPr>
    </w:p>
    <w:p>
      <w:pPr>
        <w:pStyle w:val="Heading3"/>
        <w:rPr>
          <w:sz w:val="24"/>
          <w:szCs w:val="24"/>
        </w:rPr>
      </w:pPr>
      <w:r>
        <w:rPr>
          <w:sz w:val="24"/>
          <w:szCs w:val="24"/>
        </w:rPr>
        <w:t>Closing date:</w:t>
      </w:r>
      <w:r>
        <w:rPr>
          <w:sz w:val="24"/>
          <w:szCs w:val="24"/>
        </w:rPr>
        <w:tab/>
      </w:r>
      <w:r>
        <w:rPr>
          <w:sz w:val="24"/>
          <w:szCs w:val="24"/>
        </w:rPr>
        <w:tab/>
        <w:t>19 January 2018</w:t>
      </w:r>
    </w:p>
    <w:p>
      <w:pPr>
        <w:pStyle w:val="Heading3"/>
        <w:rPr>
          <w:sz w:val="24"/>
          <w:szCs w:val="24"/>
        </w:rPr>
      </w:pPr>
    </w:p>
    <w:p>
      <w:pPr>
        <w:pStyle w:val="Heading3"/>
        <w:rPr>
          <w:sz w:val="24"/>
          <w:szCs w:val="24"/>
        </w:rPr>
      </w:pPr>
      <w:r>
        <w:rPr>
          <w:sz w:val="24"/>
          <w:szCs w:val="24"/>
        </w:rPr>
        <w:t>Interview date(s):</w:t>
      </w:r>
      <w:r>
        <w:rPr>
          <w:sz w:val="24"/>
          <w:szCs w:val="24"/>
        </w:rPr>
        <w:tab/>
        <w:t>tbc</w:t>
      </w: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pStyle w:val="Heading3"/>
      </w:pPr>
    </w:p>
    <w:p>
      <w:pPr>
        <w:pStyle w:val="Heading3"/>
        <w:rPr>
          <w:color w:val="505050" w:themeColor="text1"/>
        </w:rPr>
      </w:pPr>
      <w:r>
        <w:t>Referees</w:t>
      </w:r>
    </w:p>
    <w:p>
      <w:pPr>
        <w:rPr>
          <w:rFonts w:cs="Arial"/>
          <w:color w:val="505050" w:themeColor="text1"/>
        </w:rPr>
      </w:pPr>
    </w:p>
    <w:p>
      <w:pPr>
        <w:rPr>
          <w:color w:val="505050" w:themeColor="text1"/>
        </w:rPr>
      </w:pPr>
      <w:r>
        <w:rPr>
          <w:color w:val="505050" w:themeColor="text1"/>
        </w:rPr>
        <w:t>In order to comply with the guidance on safer recruitment, you are requested to provide referees in line with the following guidance:</w:t>
      </w:r>
    </w:p>
    <w:p>
      <w:pPr>
        <w:ind w:left="709"/>
        <w:rPr>
          <w:color w:val="505050" w:themeColor="text1"/>
        </w:rPr>
      </w:pPr>
    </w:p>
    <w:p>
      <w:pPr>
        <w:rPr>
          <w:color w:val="505050" w:themeColor="text1"/>
        </w:rPr>
      </w:pPr>
    </w:p>
    <w:p>
      <w:pPr>
        <w:numPr>
          <w:ilvl w:val="2"/>
          <w:numId w:val="8"/>
        </w:numPr>
        <w:tabs>
          <w:tab w:val="clear" w:pos="2160"/>
        </w:tabs>
        <w:ind w:left="709"/>
        <w:rPr>
          <w:color w:val="505050" w:themeColor="text1"/>
        </w:rPr>
      </w:pPr>
      <w:r>
        <w:rPr>
          <w:color w:val="505050" w:themeColor="text1"/>
        </w:rPr>
        <w:t>One reference from your current employer</w:t>
      </w:r>
    </w:p>
    <w:p>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1">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0AN</w:t>
      </w:r>
    </w:p>
    <w:p>
      <w:pPr>
        <w:pStyle w:val="Body"/>
        <w:spacing w:after="0" w:line="240" w:lineRule="auto"/>
        <w:ind w:left="720" w:hanging="720"/>
        <w:jc w:val="right"/>
        <w:rPr>
          <w:rFonts w:asciiTheme="minorHAnsi" w:hAnsiTheme="minorHAnsi" w:cstheme="minorHAnsi"/>
          <w:color w:val="052235" w:themeColor="text2"/>
          <w:spacing w:val="0"/>
          <w:sz w:val="20"/>
          <w:szCs w:val="20"/>
        </w:rPr>
      </w:pP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p/>
    <w:p>
      <w:pPr>
        <w:pStyle w:val="Heading3"/>
        <w:rPr>
          <w:sz w:val="22"/>
        </w:rPr>
      </w:pPr>
      <w:r>
        <w:t>Letter from HEADTEACHER</w:t>
      </w:r>
    </w:p>
    <w:p>
      <w:pPr>
        <w:jc w:val="right"/>
      </w:pPr>
      <w:r>
        <w:t xml:space="preserve">January 2018 </w:t>
      </w:r>
    </w:p>
    <w:p>
      <w:pPr>
        <w:rPr>
          <w:sz w:val="22"/>
        </w:rPr>
      </w:pPr>
    </w:p>
    <w:p>
      <w:pPr>
        <w:rPr>
          <w:sz w:val="22"/>
        </w:rPr>
      </w:pPr>
      <w:r>
        <w:rPr>
          <w:sz w:val="22"/>
        </w:rPr>
        <w:t xml:space="preserve">Dear Applicant, </w:t>
      </w:r>
    </w:p>
    <w:p>
      <w:pPr>
        <w:pStyle w:val="NormalWeb"/>
        <w:spacing w:before="2"/>
        <w:rPr>
          <w:rFonts w:ascii="Arial" w:hAnsi="Arial" w:cs="Arial"/>
          <w:color w:val="505050" w:themeColor="text1"/>
          <w:sz w:val="22"/>
          <w:szCs w:val="24"/>
        </w:rPr>
      </w:pPr>
    </w:p>
    <w:p>
      <w:pPr>
        <w:jc w:val="both"/>
        <w:rPr>
          <w:sz w:val="22"/>
        </w:rPr>
      </w:pPr>
      <w:r>
        <w:rPr>
          <w:sz w:val="22"/>
        </w:rPr>
        <w:t xml:space="preserve">Thank you for your interest in the post of </w:t>
      </w:r>
      <w:proofErr w:type="spellStart"/>
      <w:r>
        <w:rPr>
          <w:sz w:val="22"/>
        </w:rPr>
        <w:t>Classteacher</w:t>
      </w:r>
      <w:proofErr w:type="spellEnd"/>
      <w:r>
        <w:rPr>
          <w:sz w:val="22"/>
        </w:rPr>
        <w:t xml:space="preserve">: Computing at The Ongar Academy.  I hope the enclosed pack will be of interest to you and look forward to receiving your completed application. </w:t>
      </w:r>
    </w:p>
    <w:p>
      <w:pPr>
        <w:jc w:val="both"/>
        <w:rPr>
          <w:sz w:val="22"/>
        </w:rPr>
      </w:pPr>
    </w:p>
    <w:p>
      <w:pPr>
        <w:jc w:val="both"/>
        <w:rPr>
          <w:sz w:val="22"/>
        </w:rPr>
      </w:pPr>
      <w:r>
        <w:rPr>
          <w:sz w:val="22"/>
        </w:rPr>
        <w:t xml:space="preserve">The Ongar Academy is a new academy, opened in 2015. Our multi-million pound, state of the art buildings </w:t>
      </w:r>
      <w:proofErr w:type="gramStart"/>
      <w:r>
        <w:rPr>
          <w:sz w:val="22"/>
        </w:rPr>
        <w:t>are</w:t>
      </w:r>
      <w:proofErr w:type="gramEnd"/>
      <w:r>
        <w:rPr>
          <w:sz w:val="22"/>
        </w:rPr>
        <w:t xml:space="preserve"> now open and fully functioning. We boast wonderful facilities and we are highly in demand with over 380 applicants for 120 student places each year.</w:t>
      </w:r>
    </w:p>
    <w:p>
      <w:pPr>
        <w:jc w:val="both"/>
        <w:rPr>
          <w:sz w:val="22"/>
        </w:rPr>
      </w:pPr>
    </w:p>
    <w:p>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 </w:t>
      </w:r>
    </w:p>
    <w:p>
      <w:pPr>
        <w:jc w:val="both"/>
        <w:rPr>
          <w:sz w:val="22"/>
        </w:rPr>
      </w:pPr>
    </w:p>
    <w:p>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some</w:t>
      </w:r>
      <w:bookmarkStart w:id="0" w:name="_GoBack"/>
      <w:bookmarkEnd w:id="0"/>
      <w:r>
        <w:rPr>
          <w:sz w:val="22"/>
        </w:rPr>
        <w:t xml:space="preserve"> founding staff now follow leadership roles in the school.</w:t>
      </w:r>
    </w:p>
    <w:p>
      <w:pPr>
        <w:jc w:val="both"/>
        <w:rPr>
          <w:sz w:val="22"/>
        </w:rPr>
      </w:pPr>
    </w:p>
    <w:p>
      <w:pPr>
        <w:jc w:val="both"/>
        <w:rPr>
          <w:sz w:val="22"/>
        </w:rPr>
      </w:pPr>
      <w:r>
        <w:rPr>
          <w:sz w:val="22"/>
        </w:rPr>
        <w:t>As a new member of staff you have access to many benefits including a new laptop and a Health &amp; Wellbeing package.</w:t>
      </w:r>
    </w:p>
    <w:p>
      <w:pPr>
        <w:jc w:val="both"/>
        <w:rPr>
          <w:sz w:val="22"/>
        </w:rPr>
      </w:pPr>
    </w:p>
    <w:p>
      <w:pPr>
        <w:jc w:val="both"/>
        <w:rPr>
          <w:sz w:val="22"/>
        </w:rPr>
      </w:pPr>
      <w:r>
        <w:rPr>
          <w:sz w:val="22"/>
        </w:rPr>
        <w:t xml:space="preserve">You will have a key role in the school as the academy grows and matures, facilitating your subject and assisting the SLT and trustees in the development of the vision for the school.  </w:t>
      </w:r>
    </w:p>
    <w:p>
      <w:pPr>
        <w:jc w:val="both"/>
        <w:rPr>
          <w:sz w:val="22"/>
        </w:rPr>
      </w:pPr>
    </w:p>
    <w:p>
      <w:pPr>
        <w:jc w:val="both"/>
        <w:rPr>
          <w:sz w:val="22"/>
        </w:rPr>
      </w:pPr>
      <w:r>
        <w:rPr>
          <w:sz w:val="22"/>
        </w:rPr>
        <w:t xml:space="preserve">I hope that you will find this recruitment pack useful. </w:t>
      </w:r>
    </w:p>
    <w:p>
      <w:pPr>
        <w:jc w:val="both"/>
        <w:rPr>
          <w:sz w:val="22"/>
        </w:rPr>
      </w:pPr>
    </w:p>
    <w:p>
      <w:pPr>
        <w:jc w:val="both"/>
        <w:rPr>
          <w:sz w:val="22"/>
        </w:rPr>
      </w:pPr>
      <w:r>
        <w:rPr>
          <w:sz w:val="22"/>
        </w:rPr>
        <w:t>I would be very happy to meet and talk with you personally if you require any further information.</w:t>
      </w:r>
    </w:p>
    <w:p>
      <w:pPr>
        <w:jc w:val="both"/>
        <w:rPr>
          <w:sz w:val="22"/>
        </w:rPr>
      </w:pPr>
    </w:p>
    <w:p>
      <w:pPr>
        <w:rPr>
          <w:sz w:val="22"/>
        </w:rPr>
      </w:pPr>
      <w:r>
        <w:rPr>
          <w:sz w:val="22"/>
        </w:rPr>
        <w:t>Yours sincerely</w:t>
      </w:r>
    </w:p>
    <w:p>
      <w:pPr>
        <w:rPr>
          <w:sz w:val="22"/>
        </w:rPr>
      </w:pPr>
    </w:p>
    <w:p>
      <w:pPr>
        <w:rPr>
          <w:sz w:val="22"/>
        </w:rPr>
      </w:pPr>
      <w:r>
        <w:rPr>
          <w:noProof/>
          <w:sz w:val="22"/>
        </w:rPr>
        <w:drawing>
          <wp:inline distT="0" distB="0" distL="0" distR="0">
            <wp:extent cx="1448561"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Grant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6103" cy="593625"/>
                    </a:xfrm>
                    <a:prstGeom prst="rect">
                      <a:avLst/>
                    </a:prstGeom>
                  </pic:spPr>
                </pic:pic>
              </a:graphicData>
            </a:graphic>
          </wp:inline>
        </w:drawing>
      </w:r>
    </w:p>
    <w:p>
      <w:pPr>
        <w:rPr>
          <w:sz w:val="22"/>
        </w:rPr>
      </w:pPr>
    </w:p>
    <w:p>
      <w:pPr>
        <w:rPr>
          <w:sz w:val="22"/>
        </w:rPr>
      </w:pPr>
      <w:r>
        <w:rPr>
          <w:sz w:val="22"/>
        </w:rPr>
        <w:t>Mr David Grant</w:t>
      </w:r>
    </w:p>
    <w:p>
      <w:pPr>
        <w:rPr>
          <w:sz w:val="22"/>
        </w:rPr>
      </w:pPr>
      <w:proofErr w:type="spellStart"/>
      <w:r>
        <w:rPr>
          <w:sz w:val="22"/>
        </w:rPr>
        <w:t>Headteacher</w:t>
      </w:r>
      <w:proofErr w:type="spellEnd"/>
    </w:p>
    <w:p/>
    <w:p>
      <w:pPr>
        <w:rPr>
          <w:rFonts w:cs="Arial"/>
          <w:b/>
          <w:sz w:val="44"/>
          <w:lang w:val="en-US"/>
        </w:rPr>
      </w:pPr>
      <w:r>
        <w:rPr>
          <w:rFonts w:cs="Arial"/>
          <w:b/>
          <w:sz w:val="44"/>
          <w:lang w:val="en-US"/>
        </w:rPr>
        <w:br w:type="page"/>
      </w:r>
    </w:p>
    <w:p>
      <w:pPr>
        <w:spacing w:before="100" w:beforeAutospacing="1" w:after="100" w:afterAutospacing="1"/>
        <w:jc w:val="center"/>
        <w:rPr>
          <w:rFonts w:cs="Arial"/>
          <w:b/>
          <w:sz w:val="44"/>
        </w:rPr>
      </w:pPr>
      <w:r>
        <w:rPr>
          <w:rFonts w:cs="Arial"/>
          <w:b/>
          <w:sz w:val="44"/>
        </w:rPr>
        <w:lastRenderedPageBreak/>
        <w:t>Our Vision</w:t>
      </w:r>
    </w:p>
    <w:p>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r>
        <w:rPr>
          <w:rFonts w:cs="Arial"/>
        </w:rPr>
        <w:t>The school will encourage its students to ASPIRE:</w:t>
      </w:r>
    </w:p>
    <w:p>
      <w:pPr>
        <w:spacing w:before="100" w:beforeAutospacing="1" w:after="100" w:afterAutospacing="1"/>
        <w:rPr>
          <w:rFonts w:cs="Arial"/>
        </w:rPr>
      </w:pPr>
      <w:r>
        <w:rPr>
          <w:rFonts w:cs="Arial"/>
          <w:b/>
        </w:rPr>
        <w:t>A</w:t>
      </w:r>
      <w:r>
        <w:rPr>
          <w:rFonts w:cs="Arial"/>
        </w:rPr>
        <w:t xml:space="preserve">chieve </w:t>
      </w:r>
    </w:p>
    <w:p>
      <w:pPr>
        <w:spacing w:before="100" w:beforeAutospacing="1" w:after="100" w:afterAutospacing="1"/>
        <w:rPr>
          <w:rFonts w:cs="Arial"/>
        </w:rPr>
      </w:pPr>
      <w:r>
        <w:rPr>
          <w:rFonts w:cs="Arial"/>
          <w:b/>
        </w:rPr>
        <w:t>S</w:t>
      </w:r>
      <w:r>
        <w:rPr>
          <w:rFonts w:cs="Arial"/>
        </w:rPr>
        <w:t>upport</w:t>
      </w:r>
    </w:p>
    <w:p>
      <w:pPr>
        <w:spacing w:before="100" w:beforeAutospacing="1" w:after="100" w:afterAutospacing="1"/>
        <w:rPr>
          <w:rFonts w:cs="Arial"/>
        </w:rPr>
      </w:pPr>
      <w:r>
        <w:rPr>
          <w:rFonts w:cs="Arial"/>
          <w:b/>
        </w:rPr>
        <w:t>P</w:t>
      </w:r>
      <w:r>
        <w:rPr>
          <w:rFonts w:cs="Arial"/>
        </w:rPr>
        <w:t>articipate</w:t>
      </w:r>
    </w:p>
    <w:p>
      <w:pPr>
        <w:spacing w:before="100" w:beforeAutospacing="1" w:after="100" w:afterAutospacing="1"/>
        <w:rPr>
          <w:rFonts w:cs="Arial"/>
        </w:rPr>
      </w:pPr>
      <w:r>
        <w:rPr>
          <w:rFonts w:cs="Arial"/>
          <w:b/>
        </w:rPr>
        <w:t>I</w:t>
      </w:r>
      <w:r>
        <w:rPr>
          <w:rFonts w:cs="Arial"/>
        </w:rPr>
        <w:t>nnovate</w:t>
      </w:r>
    </w:p>
    <w:p>
      <w:pPr>
        <w:spacing w:before="100" w:beforeAutospacing="1" w:after="100" w:afterAutospacing="1"/>
        <w:rPr>
          <w:rFonts w:cs="Arial"/>
        </w:rPr>
      </w:pPr>
      <w:r>
        <w:rPr>
          <w:rFonts w:cs="Arial"/>
          <w:b/>
        </w:rPr>
        <w:t>R</w:t>
      </w:r>
      <w:r>
        <w:rPr>
          <w:rFonts w:cs="Arial"/>
        </w:rPr>
        <w:t>espect</w:t>
      </w:r>
    </w:p>
    <w:p>
      <w:pPr>
        <w:spacing w:before="100" w:beforeAutospacing="1" w:after="100" w:afterAutospacing="1"/>
        <w:rPr>
          <w:rFonts w:cs="Arial"/>
        </w:rPr>
      </w:pPr>
      <w:r>
        <w:rPr>
          <w:rFonts w:cs="Arial"/>
          <w:b/>
        </w:rPr>
        <w:t>E</w:t>
      </w:r>
      <w:r>
        <w:rPr>
          <w:rFonts w:cs="Arial"/>
        </w:rPr>
        <w:t>njoy learning together</w:t>
      </w: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pPr>
        <w:ind w:left="-284" w:right="-330"/>
        <w:rPr>
          <w:rFonts w:cs="Arial"/>
        </w:rPr>
      </w:pPr>
    </w:p>
    <w:p>
      <w:pPr>
        <w:ind w:left="-284" w:right="-330"/>
        <w:jc w:val="center"/>
        <w:rPr>
          <w:rFonts w:cs="Arial"/>
          <w:b/>
        </w:rPr>
      </w:pPr>
    </w:p>
    <w:p>
      <w:pPr>
        <w:ind w:left="-284" w:right="-330"/>
        <w:jc w:val="center"/>
        <w:rPr>
          <w:rFonts w:cs="Arial"/>
          <w:b/>
        </w:rPr>
      </w:pPr>
    </w:p>
    <w:p>
      <w:pPr>
        <w:ind w:left="-284" w:right="-330"/>
        <w:jc w:val="center"/>
        <w:rPr>
          <w:rFonts w:cs="Arial"/>
          <w:b/>
        </w:rPr>
      </w:pPr>
    </w:p>
    <w:p>
      <w:pPr>
        <w:ind w:left="-284" w:right="-330"/>
        <w:jc w:val="center"/>
        <w:rPr>
          <w:rFonts w:cs="Arial"/>
          <w:b/>
        </w:rPr>
      </w:pPr>
    </w:p>
    <w:p>
      <w:pPr>
        <w:ind w:left="-284" w:right="-330"/>
        <w:jc w:val="center"/>
        <w:rPr>
          <w:rFonts w:cs="Arial"/>
          <w:b/>
        </w:rPr>
      </w:pPr>
    </w:p>
    <w:p>
      <w:pPr>
        <w:jc w:val="center"/>
        <w:rPr>
          <w:b/>
          <w:sz w:val="32"/>
        </w:rPr>
      </w:pPr>
      <w:r>
        <w:rPr>
          <w:b/>
          <w:sz w:val="32"/>
        </w:rPr>
        <w:t>CLASSTEACHER</w:t>
      </w:r>
    </w:p>
    <w:p>
      <w:pPr>
        <w:jc w:val="center"/>
        <w:rPr>
          <w:b/>
          <w:sz w:val="32"/>
        </w:rPr>
      </w:pPr>
      <w:r>
        <w:rPr>
          <w:b/>
          <w:sz w:val="32"/>
        </w:rPr>
        <w:t>JOB DESCRIPTION</w:t>
      </w:r>
    </w:p>
    <w:p>
      <w:pPr>
        <w:jc w:val="both"/>
        <w:rPr>
          <w:b/>
        </w:rPr>
      </w:pPr>
    </w:p>
    <w:p>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r>
      <w:proofErr w:type="spellStart"/>
      <w:r>
        <w:rPr>
          <w:rFonts w:eastAsia="Calibri" w:cs="Arial"/>
          <w:lang w:eastAsia="en-US"/>
        </w:rPr>
        <w:t>Classteacher</w:t>
      </w:r>
      <w:proofErr w:type="spellEnd"/>
      <w:r>
        <w:rPr>
          <w:rFonts w:eastAsia="Calibri" w:cs="Arial"/>
          <w:lang w:eastAsia="en-US"/>
        </w:rPr>
        <w:t>/Form Tutor</w:t>
      </w:r>
      <w:r>
        <w:rPr>
          <w:rFonts w:eastAsia="Calibri" w:cs="Arial"/>
          <w:lang w:eastAsia="en-US"/>
        </w:rPr>
        <w:tab/>
      </w:r>
      <w:r>
        <w:rPr>
          <w:rFonts w:eastAsia="Calibri" w:cs="Arial"/>
          <w:lang w:eastAsia="en-US"/>
        </w:rPr>
        <w:tab/>
      </w:r>
      <w:r>
        <w:rPr>
          <w:rFonts w:eastAsia="Calibri" w:cs="Arial"/>
          <w:lang w:eastAsia="en-US"/>
        </w:rPr>
        <w:tab/>
      </w:r>
    </w:p>
    <w:p>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pPr>
        <w:spacing w:line="276" w:lineRule="auto"/>
        <w:ind w:left="-284" w:right="-330"/>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pPr>
        <w:spacing w:line="276" w:lineRule="auto"/>
        <w:ind w:left="-284" w:right="-330"/>
        <w:rPr>
          <w:rFonts w:eastAsia="Calibri" w:cs="Arial"/>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pPr>
        <w:spacing w:line="276" w:lineRule="auto"/>
        <w:ind w:left="-284" w:right="-330" w:firstLine="284"/>
        <w:contextualSpacing/>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w:t>
      </w:r>
      <w:proofErr w:type="spellStart"/>
      <w:r>
        <w:rPr>
          <w:rFonts w:eastAsia="Calibri" w:cs="Arial"/>
          <w:lang w:eastAsia="en-US"/>
        </w:rPr>
        <w:t>homelearning</w:t>
      </w:r>
      <w:proofErr w:type="spellEnd"/>
      <w:r>
        <w:rPr>
          <w:rFonts w:eastAsia="Calibri" w:cs="Arial"/>
          <w:lang w:eastAsia="en-US"/>
        </w:rPr>
        <w:t xml:space="preserve"> and plan other out-of-class activities to consolidate and extend the knowledge and understanding students have acquired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pPr>
        <w:numPr>
          <w:ilvl w:val="0"/>
          <w:numId w:val="27"/>
        </w:numPr>
        <w:spacing w:line="276" w:lineRule="auto"/>
        <w:ind w:right="-330"/>
        <w:contextualSpacing/>
        <w:jc w:val="both"/>
        <w:rPr>
          <w:rFonts w:eastAsia="Calibri" w:cs="Arial"/>
          <w:lang w:eastAsia="en-US"/>
        </w:rPr>
      </w:pPr>
      <w:r>
        <w:rPr>
          <w:rFonts w:eastAsia="Calibri" w:cs="Arial"/>
          <w:lang w:eastAsia="en-US"/>
        </w:rPr>
        <w:t>give students regular feedback, both orally and through accurate marking, and encourage students to respond to the feedback</w:t>
      </w:r>
    </w:p>
    <w:p>
      <w:pPr>
        <w:spacing w:line="276" w:lineRule="auto"/>
        <w:ind w:left="360" w:right="-330"/>
        <w:contextualSpacing/>
        <w:jc w:val="both"/>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lastRenderedPageBreak/>
        <w:t xml:space="preserve">Manage behaviour effectively to ensure a good and safe learning environment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pPr>
        <w:spacing w:line="276" w:lineRule="auto"/>
        <w:ind w:left="-284" w:right="-330"/>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ab/>
        <w:t>Budgets/Resources</w:t>
      </w:r>
    </w:p>
    <w:p>
      <w:pPr>
        <w:spacing w:line="276" w:lineRule="auto"/>
        <w:ind w:left="-284" w:right="-330"/>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pPr>
        <w:spacing w:line="276" w:lineRule="auto"/>
        <w:ind w:left="360" w:right="-330"/>
        <w:jc w:val="both"/>
        <w:rPr>
          <w:rFonts w:eastAsia="Calibri" w:cs="Arial"/>
          <w:lang w:eastAsia="en-US"/>
        </w:rPr>
      </w:pPr>
      <w:r>
        <w:rPr>
          <w:rFonts w:eastAsia="Calibri" w:cs="Arial"/>
          <w:lang w:eastAsia="en-US"/>
        </w:rPr>
        <w:t>-  identify resource needs</w:t>
      </w:r>
    </w:p>
    <w:p>
      <w:pPr>
        <w:spacing w:line="276" w:lineRule="auto"/>
        <w:ind w:left="360" w:right="-330"/>
        <w:jc w:val="both"/>
        <w:rPr>
          <w:rFonts w:eastAsia="Calibri" w:cs="Arial"/>
          <w:lang w:eastAsia="en-US"/>
        </w:rPr>
      </w:pPr>
      <w:r>
        <w:rPr>
          <w:rFonts w:eastAsia="Calibri" w:cs="Arial"/>
          <w:lang w:eastAsia="en-US"/>
        </w:rPr>
        <w:t>-  operate stock control system</w:t>
      </w:r>
    </w:p>
    <w:p>
      <w:pPr>
        <w:spacing w:line="276" w:lineRule="auto"/>
        <w:ind w:left="360" w:right="-330"/>
        <w:jc w:val="both"/>
        <w:rPr>
          <w:rFonts w:eastAsia="Calibri" w:cs="Arial"/>
          <w:lang w:eastAsia="en-US"/>
        </w:rPr>
      </w:pPr>
      <w:r>
        <w:rPr>
          <w:rFonts w:eastAsia="Calibri" w:cs="Arial"/>
          <w:lang w:eastAsia="en-US"/>
        </w:rPr>
        <w:t xml:space="preserve">-  monitor appropriate expenditure </w:t>
      </w:r>
    </w:p>
    <w:p>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lastRenderedPageBreak/>
        <w:t xml:space="preserve">Fulfil wider professional responsibilities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pPr>
        <w:spacing w:line="276" w:lineRule="auto"/>
        <w:ind w:left="-284" w:right="-330"/>
        <w:rPr>
          <w:rFonts w:eastAsia="Calibri" w:cs="Arial"/>
          <w:lang w:eastAsia="en-US"/>
        </w:rPr>
      </w:pPr>
    </w:p>
    <w:p>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pPr>
        <w:spacing w:line="276" w:lineRule="auto"/>
        <w:ind w:left="-284" w:right="-330"/>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pPr>
        <w:spacing w:line="276" w:lineRule="auto"/>
        <w:ind w:left="-284" w:right="-330"/>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pPr>
        <w:spacing w:line="276" w:lineRule="auto"/>
        <w:ind w:left="-284" w:right="-330"/>
        <w:rPr>
          <w:rFonts w:eastAsia="Calibri" w:cs="Arial"/>
          <w:lang w:eastAsia="en-US"/>
        </w:rPr>
      </w:pPr>
    </w:p>
    <w:p>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r>
        <w:rPr>
          <w:rFonts w:eastAsia="Calibri" w:cs="Arial"/>
          <w:b/>
          <w:lang w:eastAsia="en-US"/>
        </w:rPr>
        <w:lastRenderedPageBreak/>
        <w:t>3</w:t>
      </w:r>
      <w:r>
        <w:rPr>
          <w:rFonts w:eastAsia="Calibri" w:cs="Arial"/>
          <w:b/>
          <w:lang w:eastAsia="en-US"/>
        </w:rPr>
        <w:tab/>
        <w:t>Line Management</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line manager will be identified on appointment and will carry out the </w:t>
      </w:r>
      <w:proofErr w:type="spellStart"/>
      <w:r>
        <w:rPr>
          <w:rFonts w:eastAsia="Calibri" w:cs="Arial"/>
          <w:lang w:eastAsia="en-US"/>
        </w:rPr>
        <w:t>postholder’s</w:t>
      </w:r>
      <w:proofErr w:type="spellEnd"/>
      <w:r>
        <w:rPr>
          <w:rFonts w:eastAsia="Calibri" w:cs="Arial"/>
          <w:lang w:eastAsia="en-US"/>
        </w:rPr>
        <w:t xml:space="preserve"> performance appraisal.  Line management might change as a result of staff changes/post changes.</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Formal line management meetings will take place at least half termly and on an ad hoc basis at the request of either the line manager or the </w:t>
      </w:r>
      <w:proofErr w:type="spellStart"/>
      <w:r>
        <w:rPr>
          <w:rFonts w:eastAsia="Calibri" w:cs="Arial"/>
          <w:lang w:eastAsia="en-US"/>
        </w:rPr>
        <w:t>postholder</w:t>
      </w:r>
      <w:proofErr w:type="spellEnd"/>
      <w:r>
        <w:rPr>
          <w:rFonts w:eastAsia="Calibri" w:cs="Arial"/>
          <w:lang w:eastAsia="en-US"/>
        </w:rPr>
        <w:t>.</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pPr>
        <w:spacing w:line="276" w:lineRule="auto"/>
        <w:jc w:val="both"/>
        <w:rPr>
          <w:rFonts w:ascii="Verdana" w:eastAsia="Calibri" w:hAnsi="Verdana" w:cs="Arial"/>
          <w:lang w:eastAsia="en-US"/>
        </w:rPr>
      </w:pPr>
    </w:p>
    <w:p>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pPr>
        <w:spacing w:line="276" w:lineRule="auto"/>
        <w:jc w:val="both"/>
        <w:rPr>
          <w:rFonts w:eastAsia="Calibri" w:cs="Arial"/>
          <w:lang w:eastAsia="en-US"/>
        </w:rPr>
      </w:pPr>
    </w:p>
    <w:p>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pPr>
        <w:tabs>
          <w:tab w:val="num" w:pos="8936"/>
        </w:tabs>
        <w:spacing w:line="276" w:lineRule="auto"/>
        <w:ind w:left="426"/>
        <w:jc w:val="both"/>
        <w:rPr>
          <w:rFonts w:eastAsia="Calibri" w:cs="Arial"/>
          <w:lang w:eastAsia="en-US"/>
        </w:rPr>
      </w:pPr>
    </w:p>
    <w:p>
      <w:pPr>
        <w:tabs>
          <w:tab w:val="num" w:pos="8936"/>
        </w:tabs>
        <w:spacing w:line="276" w:lineRule="auto"/>
        <w:ind w:left="426"/>
        <w:jc w:val="both"/>
        <w:rPr>
          <w:rFonts w:eastAsia="Calibri" w:cs="Arial"/>
          <w:lang w:eastAsia="en-US"/>
        </w:rPr>
      </w:pPr>
    </w:p>
    <w:p>
      <w:pPr>
        <w:tabs>
          <w:tab w:val="num" w:pos="8936"/>
        </w:tabs>
        <w:spacing w:line="276" w:lineRule="auto"/>
        <w:ind w:left="426"/>
        <w:jc w:val="both"/>
        <w:rPr>
          <w:rFonts w:eastAsia="Calibri" w:cs="Arial"/>
          <w:lang w:eastAsia="en-US"/>
        </w:rPr>
      </w:pPr>
    </w:p>
    <w:p>
      <w:pPr>
        <w:jc w:val="right"/>
        <w:rPr>
          <w:sz w:val="16"/>
        </w:rPr>
      </w:pPr>
    </w:p>
    <w:p>
      <w:pPr>
        <w:jc w:val="right"/>
        <w:rPr>
          <w:sz w:val="16"/>
        </w:rPr>
      </w:pPr>
    </w:p>
    <w:p>
      <w:pPr>
        <w:jc w:val="right"/>
        <w:rPr>
          <w:sz w:val="16"/>
        </w:rPr>
      </w:pPr>
    </w:p>
    <w:p>
      <w:pPr>
        <w:jc w:val="right"/>
        <w:rPr>
          <w:sz w:val="16"/>
        </w:rPr>
      </w:pPr>
    </w:p>
    <w:p>
      <w:pPr>
        <w:jc w:val="right"/>
        <w:rPr>
          <w:sz w:val="16"/>
        </w:rPr>
      </w:pPr>
    </w:p>
    <w:p>
      <w:pPr>
        <w:ind w:left="-284" w:right="-330"/>
        <w:rPr>
          <w:rFonts w:cs="Arial"/>
          <w:b/>
          <w:bCs/>
          <w:color w:val="505050" w:themeColor="text1"/>
          <w:sz w:val="2"/>
          <w:szCs w:val="2"/>
        </w:rPr>
      </w:pPr>
    </w:p>
    <w:p>
      <w:pPr>
        <w:rPr>
          <w:b/>
          <w:bCs/>
        </w:rPr>
      </w:pPr>
      <w:r>
        <w:rPr>
          <w:rFonts w:cs="Arial"/>
          <w:b/>
          <w:bCs/>
          <w:color w:val="505050" w:themeColor="text1"/>
          <w:sz w:val="2"/>
          <w:szCs w:val="2"/>
        </w:rPr>
        <w:t> </w:t>
      </w:r>
    </w:p>
    <w:p>
      <w:pPr>
        <w:rPr>
          <w:b/>
          <w:bCs/>
        </w:rPr>
      </w:pPr>
      <w:r>
        <w:rPr>
          <w:b/>
          <w:bCs/>
          <w:noProof/>
        </w:rPr>
        <w:drawing>
          <wp:anchor distT="0" distB="0" distL="114300" distR="114300" simplePos="0" relativeHeight="251663872" behindDoc="1" locked="0" layoutInCell="1" allowOverlap="1">
            <wp:simplePos x="0" y="0"/>
            <wp:positionH relativeFrom="column">
              <wp:posOffset>-2540</wp:posOffset>
            </wp:positionH>
            <wp:positionV relativeFrom="paragraph">
              <wp:posOffset>-589915</wp:posOffset>
            </wp:positionV>
            <wp:extent cx="2095500" cy="859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18">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cs="Arial"/>
          <w:b/>
          <w:bCs/>
          <w:sz w:val="32"/>
        </w:rPr>
      </w:pPr>
    </w:p>
    <w:p>
      <w:pPr>
        <w:jc w:val="center"/>
        <w:rPr>
          <w:rFonts w:cs="Arial"/>
          <w:sz w:val="32"/>
        </w:rPr>
      </w:pPr>
      <w:r>
        <w:rPr>
          <w:rFonts w:cs="Arial"/>
          <w:b/>
          <w:bCs/>
          <w:sz w:val="32"/>
        </w:rPr>
        <w:t xml:space="preserve">Person Specification: </w:t>
      </w:r>
      <w:proofErr w:type="spellStart"/>
      <w:r>
        <w:rPr>
          <w:rFonts w:cs="Arial"/>
          <w:b/>
          <w:bCs/>
          <w:sz w:val="32"/>
        </w:rPr>
        <w:t>Classteacher</w:t>
      </w:r>
      <w:proofErr w:type="spellEnd"/>
    </w:p>
    <w:p>
      <w:pPr>
        <w:ind w:left="284"/>
        <w:jc w:val="both"/>
        <w:rPr>
          <w:rFonts w:cs="Arial"/>
          <w:b/>
          <w:bCs/>
        </w:rPr>
      </w:pPr>
    </w:p>
    <w:p>
      <w:pPr>
        <w:ind w:left="284"/>
        <w:jc w:val="both"/>
        <w:rPr>
          <w:rFonts w:cs="Arial"/>
          <w:b/>
          <w:bCs/>
        </w:rPr>
      </w:pPr>
      <w:r>
        <w:rPr>
          <w:rFonts w:cs="Arial"/>
          <w:b/>
          <w:bCs/>
        </w:rPr>
        <w:t xml:space="preserve">Qualification Criteria </w:t>
      </w:r>
    </w:p>
    <w:p>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pPr>
        <w:pStyle w:val="ListParagraph"/>
        <w:numPr>
          <w:ilvl w:val="0"/>
          <w:numId w:val="29"/>
        </w:numPr>
        <w:spacing w:beforeLines="0"/>
        <w:jc w:val="both"/>
        <w:rPr>
          <w:rFonts w:ascii="Arial" w:hAnsi="Arial" w:cs="Arial"/>
        </w:rPr>
      </w:pPr>
      <w:r>
        <w:rPr>
          <w:rFonts w:ascii="Arial" w:hAnsi="Arial" w:cs="Arial"/>
        </w:rPr>
        <w:t>Possesses QTS status or equivalent</w:t>
      </w:r>
    </w:p>
    <w:p>
      <w:pPr>
        <w:ind w:left="284"/>
        <w:jc w:val="both"/>
        <w:rPr>
          <w:rFonts w:cs="Arial"/>
        </w:rPr>
      </w:pPr>
    </w:p>
    <w:p>
      <w:pPr>
        <w:ind w:left="284"/>
        <w:jc w:val="both"/>
        <w:rPr>
          <w:rFonts w:cs="Arial"/>
        </w:rPr>
      </w:pPr>
      <w:r>
        <w:rPr>
          <w:rFonts w:cs="Arial"/>
          <w:b/>
          <w:bCs/>
        </w:rPr>
        <w:t xml:space="preserve">Experience </w:t>
      </w:r>
    </w:p>
    <w:p>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pPr>
        <w:pStyle w:val="ListParagraph"/>
        <w:numPr>
          <w:ilvl w:val="0"/>
          <w:numId w:val="30"/>
        </w:numPr>
        <w:spacing w:beforeLines="0"/>
        <w:jc w:val="both"/>
        <w:rPr>
          <w:rFonts w:ascii="Arial" w:hAnsi="Arial" w:cs="Arial"/>
        </w:rPr>
      </w:pPr>
      <w:r>
        <w:rPr>
          <w:rFonts w:ascii="Arial" w:hAnsi="Arial" w:cs="Arial"/>
        </w:rPr>
        <w:t xml:space="preserve">Evidence of continually improving the teaching and learning of their subject through assisting with schemes of </w:t>
      </w:r>
      <w:proofErr w:type="spellStart"/>
      <w:r>
        <w:rPr>
          <w:rFonts w:ascii="Arial" w:hAnsi="Arial" w:cs="Arial"/>
        </w:rPr>
        <w:t>larning</w:t>
      </w:r>
      <w:proofErr w:type="spellEnd"/>
      <w:r>
        <w:rPr>
          <w:rFonts w:ascii="Arial" w:hAnsi="Arial" w:cs="Arial"/>
        </w:rPr>
        <w:t xml:space="preserve"> and extra-curricular/enrichment activities </w:t>
      </w:r>
    </w:p>
    <w:p>
      <w:pPr>
        <w:ind w:left="284"/>
        <w:jc w:val="both"/>
        <w:rPr>
          <w:rFonts w:cs="Arial"/>
        </w:rPr>
      </w:pPr>
    </w:p>
    <w:p>
      <w:pPr>
        <w:ind w:left="284"/>
        <w:jc w:val="both"/>
        <w:rPr>
          <w:rFonts w:cs="Arial"/>
        </w:rPr>
      </w:pPr>
      <w:r>
        <w:rPr>
          <w:rFonts w:cs="Arial"/>
          <w:b/>
          <w:bCs/>
        </w:rPr>
        <w:t xml:space="preserve">Knowledge </w:t>
      </w:r>
    </w:p>
    <w:p>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pPr>
        <w:ind w:left="284"/>
        <w:jc w:val="both"/>
        <w:rPr>
          <w:rFonts w:cs="Arial"/>
        </w:rPr>
      </w:pPr>
    </w:p>
    <w:p>
      <w:pPr>
        <w:ind w:left="284"/>
        <w:jc w:val="both"/>
        <w:rPr>
          <w:rFonts w:cs="Arial"/>
        </w:rPr>
      </w:pPr>
      <w:r>
        <w:rPr>
          <w:rFonts w:cs="Arial"/>
          <w:b/>
          <w:bCs/>
        </w:rPr>
        <w:t xml:space="preserve">Leadership </w:t>
      </w:r>
    </w:p>
    <w:p>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pPr>
        <w:ind w:left="284"/>
        <w:jc w:val="both"/>
        <w:rPr>
          <w:rFonts w:cs="Arial"/>
        </w:rPr>
      </w:pPr>
    </w:p>
    <w:p>
      <w:pPr>
        <w:ind w:left="284"/>
        <w:jc w:val="both"/>
        <w:rPr>
          <w:rFonts w:cs="Arial"/>
        </w:rPr>
      </w:pPr>
      <w:r>
        <w:rPr>
          <w:rFonts w:cs="Arial"/>
          <w:b/>
          <w:bCs/>
        </w:rPr>
        <w:t xml:space="preserve">Teaching and Learning </w:t>
      </w:r>
    </w:p>
    <w:p>
      <w:pPr>
        <w:pStyle w:val="ListParagraph"/>
        <w:numPr>
          <w:ilvl w:val="0"/>
          <w:numId w:val="33"/>
        </w:numPr>
        <w:spacing w:beforeLines="0"/>
        <w:jc w:val="both"/>
        <w:rPr>
          <w:rFonts w:ascii="Arial" w:hAnsi="Arial" w:cs="Arial"/>
        </w:rPr>
      </w:pPr>
      <w:r>
        <w:rPr>
          <w:rFonts w:ascii="Arial" w:hAnsi="Arial" w:cs="Arial"/>
        </w:rPr>
        <w:t>Effective and adaptable ICT skills</w:t>
      </w:r>
    </w:p>
    <w:p>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pPr>
        <w:pStyle w:val="ListParagraph"/>
        <w:numPr>
          <w:ilvl w:val="0"/>
          <w:numId w:val="33"/>
        </w:numPr>
        <w:spacing w:beforeLines="0"/>
        <w:jc w:val="both"/>
        <w:rPr>
          <w:rFonts w:ascii="Arial" w:hAnsi="Arial" w:cs="Arial"/>
        </w:rPr>
      </w:pPr>
      <w:r>
        <w:rPr>
          <w:rFonts w:ascii="Arial" w:hAnsi="Arial" w:cs="Arial"/>
        </w:rPr>
        <w:t>Effective communication skills</w:t>
      </w:r>
    </w:p>
    <w:p>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pPr>
        <w:pStyle w:val="ListParagraph"/>
        <w:numPr>
          <w:ilvl w:val="0"/>
          <w:numId w:val="33"/>
        </w:numPr>
        <w:spacing w:beforeLines="0"/>
        <w:jc w:val="both"/>
        <w:rPr>
          <w:rFonts w:ascii="Arial" w:hAnsi="Arial" w:cs="Arial"/>
        </w:rPr>
      </w:pPr>
      <w:r>
        <w:rPr>
          <w:rFonts w:ascii="Arial" w:hAnsi="Arial" w:cs="Arial"/>
        </w:rPr>
        <w:t>Effective and systematic behaviour management, with clear boundaries, sanctions, praise and rewards</w:t>
      </w:r>
    </w:p>
    <w:p>
      <w:pPr>
        <w:pStyle w:val="ListParagraph"/>
        <w:numPr>
          <w:ilvl w:val="0"/>
          <w:numId w:val="33"/>
        </w:numPr>
        <w:spacing w:beforeLines="0"/>
        <w:jc w:val="both"/>
        <w:rPr>
          <w:rFonts w:ascii="Arial" w:hAnsi="Arial" w:cs="Arial"/>
        </w:rPr>
      </w:pPr>
      <w:r>
        <w:rPr>
          <w:rFonts w:ascii="Arial" w:hAnsi="Arial" w:cs="Arial"/>
        </w:rPr>
        <w:lastRenderedPageBreak/>
        <w:t xml:space="preserve">Thinks strategically about classroom practice and tailoring lessons to </w:t>
      </w:r>
      <w:proofErr w:type="gramStart"/>
      <w:r>
        <w:rPr>
          <w:rFonts w:ascii="Arial" w:hAnsi="Arial" w:cs="Arial"/>
        </w:rPr>
        <w:t>students</w:t>
      </w:r>
      <w:proofErr w:type="gramEnd"/>
      <w:r>
        <w:rPr>
          <w:rFonts w:ascii="Arial" w:hAnsi="Arial" w:cs="Arial"/>
        </w:rPr>
        <w:t xml:space="preserve"> needs </w:t>
      </w:r>
    </w:p>
    <w:p>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pPr>
        <w:rPr>
          <w:sz w:val="32"/>
        </w:rPr>
      </w:pPr>
    </w:p>
    <w:p>
      <w:pPr>
        <w:jc w:val="center"/>
      </w:pPr>
      <w:r>
        <w:rPr>
          <w:sz w:val="32"/>
        </w:rPr>
        <w:t>Recruitment and Selection Statement</w:t>
      </w:r>
    </w:p>
    <w:p>
      <w:pPr>
        <w:rPr>
          <w:rFonts w:cs="Arial"/>
          <w:b/>
          <w:bCs/>
          <w:color w:val="505050" w:themeColor="text1"/>
        </w:rPr>
      </w:pPr>
    </w:p>
    <w:p>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pPr>
        <w:jc w:val="both"/>
      </w:pPr>
    </w:p>
    <w:p>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pPr>
        <w:jc w:val="both"/>
      </w:pPr>
    </w:p>
    <w:p>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pPr>
        <w:ind w:left="709" w:hanging="709"/>
        <w:jc w:val="both"/>
        <w:rPr>
          <w:bCs/>
        </w:rPr>
      </w:pPr>
    </w:p>
    <w:p>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pPr>
        <w:ind w:left="709" w:hanging="709"/>
        <w:jc w:val="both"/>
      </w:pPr>
    </w:p>
    <w:p>
      <w:pPr>
        <w:ind w:left="709" w:hanging="709"/>
        <w:jc w:val="both"/>
      </w:pPr>
      <w:r>
        <w:t>5.</w:t>
      </w:r>
      <w:r>
        <w:tab/>
        <w:t>The following pre-employment checks will be required:</w:t>
      </w:r>
    </w:p>
    <w:p>
      <w:pPr>
        <w:ind w:left="709" w:hanging="709"/>
        <w:jc w:val="both"/>
      </w:pPr>
    </w:p>
    <w:p>
      <w:pPr>
        <w:ind w:left="709"/>
        <w:jc w:val="both"/>
      </w:pPr>
      <w:r>
        <w:t>receipt of at least two satisfactory references*</w:t>
      </w:r>
    </w:p>
    <w:p>
      <w:pPr>
        <w:ind w:left="709"/>
        <w:jc w:val="both"/>
      </w:pPr>
      <w:r>
        <w:t>verification of the candidate’s identity</w:t>
      </w:r>
    </w:p>
    <w:p>
      <w:pPr>
        <w:ind w:left="709"/>
        <w:jc w:val="both"/>
      </w:pPr>
      <w:r>
        <w:t>a satisfactory Disclosure and Barring Service (DBS) disclosure</w:t>
      </w:r>
    </w:p>
    <w:p>
      <w:pPr>
        <w:ind w:left="709"/>
        <w:jc w:val="both"/>
      </w:pPr>
      <w:r>
        <w:t>verification of the candidate’s medical fitness</w:t>
      </w:r>
    </w:p>
    <w:p>
      <w:pPr>
        <w:ind w:left="709"/>
        <w:jc w:val="both"/>
      </w:pPr>
      <w:r>
        <w:t>verification of qualifications</w:t>
      </w:r>
    </w:p>
    <w:p>
      <w:pPr>
        <w:ind w:left="709"/>
        <w:jc w:val="both"/>
      </w:pPr>
      <w:r>
        <w:t>verification of professional status where required e.g. QTS status (unless properly exempted)</w:t>
      </w:r>
    </w:p>
    <w:p>
      <w:pPr>
        <w:ind w:left="709"/>
        <w:jc w:val="both"/>
      </w:pPr>
      <w:r>
        <w:t>the production of evidence of the right to work in the UK.</w:t>
      </w:r>
    </w:p>
    <w:p>
      <w:pPr>
        <w:ind w:left="709"/>
        <w:jc w:val="both"/>
      </w:pPr>
    </w:p>
    <w:p>
      <w:pPr>
        <w:ind w:left="709"/>
        <w:jc w:val="both"/>
        <w:rPr>
          <w:b/>
          <w:i/>
        </w:rPr>
      </w:pPr>
      <w:r>
        <w:rPr>
          <w:b/>
          <w:i/>
        </w:rPr>
        <w:t>NB It is illegal for anyone who is barred from working with children to apply for, or work in a school in any voluntary or paid capacity.</w:t>
      </w:r>
    </w:p>
    <w:p>
      <w:pPr>
        <w:ind w:left="709"/>
        <w:jc w:val="both"/>
      </w:pPr>
    </w:p>
    <w:p>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pPr>
        <w:ind w:left="709" w:hanging="709"/>
        <w:jc w:val="both"/>
        <w:rPr>
          <w:bCs/>
        </w:rPr>
      </w:pPr>
      <w:r>
        <w:t>6.</w:t>
      </w:r>
      <w:r>
        <w:tab/>
        <w:t>The school will keep and maintain a single central record of recruitment and vetting checks, in line with Department for Education requirements.</w:t>
      </w:r>
    </w:p>
    <w:p>
      <w:pPr>
        <w:ind w:left="709" w:hanging="709"/>
        <w:jc w:val="both"/>
        <w:rPr>
          <w:bCs/>
        </w:rPr>
      </w:pPr>
    </w:p>
    <w:p>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pPr>
        <w:ind w:left="709" w:hanging="709"/>
        <w:jc w:val="both"/>
      </w:pPr>
    </w:p>
    <w:p>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pPr>
        <w:ind w:left="709" w:hanging="709"/>
        <w:jc w:val="both"/>
      </w:pPr>
    </w:p>
    <w:p>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pPr>
        <w:ind w:left="709"/>
        <w:jc w:val="both"/>
      </w:pPr>
    </w:p>
    <w:p>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pPr>
        <w:ind w:left="709"/>
        <w:jc w:val="both"/>
      </w:pPr>
    </w:p>
    <w:p>
      <w:pPr>
        <w:ind w:left="709"/>
        <w:jc w:val="both"/>
      </w:pPr>
      <w:r>
        <w:t>A copy of the School’s Safer Recruitment Policy is available from the school upon request.</w:t>
      </w:r>
    </w:p>
    <w:p>
      <w:pPr>
        <w:ind w:left="709" w:hanging="709"/>
        <w:jc w:val="both"/>
      </w:pPr>
    </w:p>
    <w:p>
      <w:pPr>
        <w:ind w:left="709" w:hanging="709"/>
        <w:jc w:val="both"/>
      </w:pPr>
    </w:p>
    <w:p>
      <w:pPr>
        <w:jc w:val="both"/>
      </w:pPr>
      <w:r>
        <w:t>The Ongar Academy and its Governing Body are committed to ensuring consistency of treatment and fairness, and will abide by all relevant equality legislation.</w:t>
      </w:r>
    </w:p>
    <w:p>
      <w:pPr>
        <w:rPr>
          <w:b/>
          <w:bCs/>
        </w:rPr>
      </w:pPr>
    </w:p>
    <w:sectPr>
      <w:footerReference w:type="default" r:id="rId19"/>
      <w:footerReference w:type="first" r:id="rId20"/>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15:restartNumberingAfterBreak="0">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15:restartNumberingAfterBreak="0">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15:restartNumberingAfterBreak="0">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noPunctuationKerning/>
  <w:characterSpacingControl w:val="doNotCompress"/>
  <w:hdrShapeDefaults>
    <o:shapedefaults v:ext="edit" spidmax="34817">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06c,#369,#cff"/>
    </o:shapedefaults>
    <o:shapelayout v:ext="edit">
      <o:idmap v:ext="edit" data="1"/>
    </o:shapelayout>
  </w:shapeDefaults>
  <w:decimalSymbol w:val="."/>
  <w:listSeparator w:val=","/>
  <w15:docId w15:val="{6DF8720F-411D-42E3-9A42-E6EB9358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www.theongar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DBAF-3E0A-4FD4-B534-A1AE6692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3071</Words>
  <Characters>17515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20545</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David Grant</cp:lastModifiedBy>
  <cp:revision>8</cp:revision>
  <cp:lastPrinted>2017-06-29T08:22:00Z</cp:lastPrinted>
  <dcterms:created xsi:type="dcterms:W3CDTF">2017-09-20T21:31:00Z</dcterms:created>
  <dcterms:modified xsi:type="dcterms:W3CDTF">2018-01-05T22:16:00Z</dcterms:modified>
</cp:coreProperties>
</file>