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57" w:rsidRDefault="003C5E57">
      <w:bookmarkStart w:id="0" w:name="_GoBack"/>
      <w:bookmarkEnd w:id="0"/>
    </w:p>
    <w:p w:rsidR="003C5E57" w:rsidRDefault="00505BFD">
      <w:pPr>
        <w:jc w:val="center"/>
        <w:rPr>
          <w:rFonts w:ascii="Calibri" w:eastAsia="Calibri" w:hAnsi="Calibri" w:cs="Calibri"/>
        </w:rPr>
      </w:pPr>
      <w: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THE MATHEMATICS FACULTY</w:t>
      </w:r>
    </w:p>
    <w:p w:rsidR="003C5E57" w:rsidRDefault="003C5E5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C5E57" w:rsidRDefault="00505BFD">
      <w:pPr>
        <w:spacing w:line="360" w:lineRule="auto"/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Overview</w:t>
      </w:r>
    </w:p>
    <w:p w:rsidR="003C5E57" w:rsidRDefault="00505BF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Mathematics Faculty currently comprises of seven full 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mathematicians</w:t>
      </w:r>
      <w:r>
        <w:rPr>
          <w:rFonts w:ascii="Calibri" w:eastAsia="Calibri" w:hAnsi="Calibri" w:cs="Calibri"/>
          <w:sz w:val="22"/>
          <w:szCs w:val="22"/>
        </w:rPr>
        <w:t xml:space="preserve">, including one </w:t>
      </w:r>
      <w:r>
        <w:rPr>
          <w:rFonts w:ascii="Calibri" w:eastAsia="Calibri" w:hAnsi="Calibri" w:cs="Calibri"/>
          <w:sz w:val="22"/>
          <w:szCs w:val="22"/>
        </w:rPr>
        <w:t xml:space="preserve">NQT </w:t>
      </w:r>
      <w:r>
        <w:rPr>
          <w:rFonts w:ascii="Calibri" w:eastAsia="Calibri" w:hAnsi="Calibri" w:cs="Calibri"/>
          <w:sz w:val="22"/>
          <w:szCs w:val="22"/>
        </w:rPr>
        <w:t>who qualified</w:t>
      </w:r>
      <w:r>
        <w:rPr>
          <w:rFonts w:ascii="Calibri" w:eastAsia="Calibri" w:hAnsi="Calibri" w:cs="Calibri"/>
          <w:sz w:val="22"/>
          <w:szCs w:val="22"/>
        </w:rPr>
        <w:t xml:space="preserve"> with the University of Wolverhampton last year.  The department is </w:t>
      </w:r>
      <w:proofErr w:type="spellStart"/>
      <w:r>
        <w:rPr>
          <w:rFonts w:ascii="Calibri" w:eastAsia="Calibri" w:hAnsi="Calibri" w:cs="Calibri"/>
          <w:sz w:val="22"/>
          <w:szCs w:val="22"/>
        </w:rPr>
        <w:t>lead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by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Assistant Principal - Director of Maths</w:t>
      </w:r>
      <w:r>
        <w:rPr>
          <w:rFonts w:ascii="Calibri" w:eastAsia="Calibri" w:hAnsi="Calibri" w:cs="Calibri"/>
          <w:sz w:val="22"/>
          <w:szCs w:val="22"/>
        </w:rPr>
        <w:t>, who joined the team in September 2017, together with a Second in Department.</w:t>
      </w:r>
      <w:r>
        <w:rPr>
          <w:rFonts w:ascii="Calibri" w:eastAsia="Calibri" w:hAnsi="Calibri" w:cs="Calibri"/>
          <w:sz w:val="22"/>
          <w:szCs w:val="22"/>
        </w:rPr>
        <w:t xml:space="preserve"> The maths faculty is accom</w:t>
      </w:r>
      <w:r>
        <w:rPr>
          <w:rFonts w:ascii="Calibri" w:eastAsia="Calibri" w:hAnsi="Calibri" w:cs="Calibri"/>
          <w:sz w:val="22"/>
          <w:szCs w:val="22"/>
        </w:rPr>
        <w:t>modated in a suite of 6 classrooms, with most teachers teaching all their lessons in the same classroom.</w:t>
      </w:r>
    </w:p>
    <w:p w:rsidR="003C5E57" w:rsidRDefault="003C5E5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C5E57" w:rsidRDefault="00505BFD">
      <w:pPr>
        <w:ind w:hanging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 S</w:t>
      </w:r>
      <w:r>
        <w:rPr>
          <w:rFonts w:ascii="Calibri" w:eastAsia="Calibri" w:hAnsi="Calibri" w:cs="Calibri"/>
          <w:b/>
          <w:sz w:val="22"/>
          <w:szCs w:val="22"/>
        </w:rPr>
        <w:t>tage 3</w:t>
      </w:r>
    </w:p>
    <w:p w:rsidR="003C5E57" w:rsidRDefault="00505BF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 Key Stage Three </w:t>
      </w:r>
      <w:r>
        <w:rPr>
          <w:rFonts w:ascii="Calibri" w:eastAsia="Calibri" w:hAnsi="Calibri" w:cs="Calibri"/>
          <w:sz w:val="22"/>
          <w:szCs w:val="22"/>
        </w:rPr>
        <w:t>student</w:t>
      </w:r>
      <w:r>
        <w:rPr>
          <w:rFonts w:ascii="Calibri" w:eastAsia="Calibri" w:hAnsi="Calibri" w:cs="Calibri"/>
          <w:sz w:val="22"/>
          <w:szCs w:val="22"/>
        </w:rPr>
        <w:t>s are set into </w:t>
      </w:r>
      <w:r>
        <w:rPr>
          <w:rFonts w:ascii="Calibri" w:eastAsia="Calibri" w:hAnsi="Calibri" w:cs="Calibri"/>
          <w:sz w:val="22"/>
          <w:szCs w:val="22"/>
        </w:rPr>
        <w:t xml:space="preserve">identical teaching </w:t>
      </w:r>
      <w:r>
        <w:rPr>
          <w:rFonts w:ascii="Calibri" w:eastAsia="Calibri" w:hAnsi="Calibri" w:cs="Calibri"/>
          <w:sz w:val="22"/>
          <w:szCs w:val="22"/>
        </w:rPr>
        <w:t xml:space="preserve"> groups for mathematics, science and </w:t>
      </w:r>
      <w:r>
        <w:rPr>
          <w:rFonts w:ascii="Calibri" w:eastAsia="Calibri" w:hAnsi="Calibri" w:cs="Calibri"/>
          <w:sz w:val="22"/>
          <w:szCs w:val="22"/>
        </w:rPr>
        <w:t>computer science; t</w:t>
      </w:r>
      <w:r>
        <w:rPr>
          <w:rFonts w:ascii="Calibri" w:eastAsia="Calibri" w:hAnsi="Calibri" w:cs="Calibri"/>
          <w:sz w:val="22"/>
          <w:szCs w:val="22"/>
        </w:rPr>
        <w:t xml:space="preserve">here are two parallel express groups, two parallel upper groups and two foundation groups.  At the start of Year 7 </w:t>
      </w:r>
      <w:r>
        <w:rPr>
          <w:rFonts w:ascii="Calibri" w:eastAsia="Calibri" w:hAnsi="Calibri" w:cs="Calibri"/>
          <w:sz w:val="22"/>
          <w:szCs w:val="22"/>
        </w:rPr>
        <w:t>student</w:t>
      </w:r>
      <w:r>
        <w:rPr>
          <w:rFonts w:ascii="Calibri" w:eastAsia="Calibri" w:hAnsi="Calibri" w:cs="Calibri"/>
          <w:sz w:val="22"/>
          <w:szCs w:val="22"/>
        </w:rPr>
        <w:t>s are set o</w:t>
      </w:r>
      <w:r>
        <w:rPr>
          <w:rFonts w:ascii="Calibri" w:eastAsia="Calibri" w:hAnsi="Calibri" w:cs="Calibri"/>
          <w:sz w:val="22"/>
          <w:szCs w:val="22"/>
        </w:rPr>
        <w:t>n the basis of KS2 SATs results</w:t>
      </w:r>
      <w:r>
        <w:rPr>
          <w:rFonts w:ascii="Calibri" w:eastAsia="Calibri" w:hAnsi="Calibri" w:cs="Calibri"/>
          <w:sz w:val="22"/>
          <w:szCs w:val="22"/>
        </w:rPr>
        <w:t>, with changes made as necessary throughout the year.</w:t>
      </w:r>
    </w:p>
    <w:p w:rsidR="003C5E57" w:rsidRDefault="003C5E5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C5E57" w:rsidRDefault="00505BFD">
      <w:pPr>
        <w:spacing w:line="360" w:lineRule="auto"/>
        <w:ind w:hanging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 Stage 4</w:t>
      </w:r>
    </w:p>
    <w:p w:rsidR="003C5E57" w:rsidRDefault="00505BF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begin the GCSE course of study at the start of Year 9, to allow for the increased demands of the new GCSE at both Foundation and Higher Tier.  Studen</w:t>
      </w:r>
      <w:r>
        <w:rPr>
          <w:rFonts w:ascii="Calibri" w:eastAsia="Calibri" w:hAnsi="Calibri" w:cs="Calibri"/>
          <w:sz w:val="22"/>
          <w:szCs w:val="22"/>
        </w:rPr>
        <w:t>ts take the Edexcel GCSE exams.  Recent year’s departmental GCSE results are shown below:</w:t>
      </w:r>
    </w:p>
    <w:p w:rsidR="003C5E57" w:rsidRDefault="003C5E5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75"/>
        <w:gridCol w:w="945"/>
        <w:gridCol w:w="555"/>
        <w:gridCol w:w="3930"/>
        <w:gridCol w:w="900"/>
      </w:tblGrid>
      <w:tr w:rsidR="003C5E5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5E57" w:rsidRDefault="00505BF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GCSE Results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EFEF"/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5E57" w:rsidRDefault="00505BF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GCSE Results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2017</w:t>
            </w:r>
          </w:p>
        </w:tc>
      </w:tr>
      <w:tr w:rsidR="003C5E5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Grade A* - 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77%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Grade 9 - 5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53%</w:t>
            </w:r>
          </w:p>
        </w:tc>
      </w:tr>
      <w:tr w:rsidR="003C5E5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A*- 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95%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Grade 9 - 4 (equivalent to A* - C)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77%</w:t>
            </w:r>
          </w:p>
        </w:tc>
      </w:tr>
      <w:tr w:rsidR="003C5E57"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Maths Progress 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+0.23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Grade 9 - 1 (equivalent to A* - G)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97%</w:t>
            </w:r>
          </w:p>
        </w:tc>
      </w:tr>
      <w:tr w:rsidR="003C5E57"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E57" w:rsidRDefault="003C5E57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57" w:rsidRDefault="003C5E5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E57" w:rsidRDefault="00505BFD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Maths Progress 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E57" w:rsidRDefault="00505BF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+0.21</w:t>
            </w:r>
          </w:p>
        </w:tc>
      </w:tr>
    </w:tbl>
    <w:p w:rsidR="003C5E57" w:rsidRDefault="003C5E5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C5E57" w:rsidRDefault="00505BFD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 Stage 5</w:t>
      </w:r>
    </w:p>
    <w:p w:rsidR="003C5E57" w:rsidRDefault="00505BFD">
      <w:pPr>
        <w:spacing w:before="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Maths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Level is consistently one of the most popular courses in sixth form at St. Edmund’s with 25 students in Year 13 and 21 in Year 12.</w:t>
      </w:r>
    </w:p>
    <w:p w:rsidR="003C5E57" w:rsidRDefault="003C5E57">
      <w:pPr>
        <w:spacing w:before="40" w:line="36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3C5E57" w:rsidRDefault="00505BFD">
      <w:pPr>
        <w:spacing w:before="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Year 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students have been following the AQA specification, taking both AS and A Level.  A Level teaching used to be shared with a local school, but from September 2016 onwards, all teaching has been done within the school.  The value added at A Level has thus sho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proofErr w:type="gramStart"/>
      <w:r>
        <w:rPr>
          <w:rFonts w:ascii="Calibri" w:eastAsia="Calibri" w:hAnsi="Calibri" w:cs="Calibri"/>
          <w:sz w:val="22"/>
          <w:szCs w:val="22"/>
        </w:rPr>
        <w:t>improvement  from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-0.3 in 2015 to  +0.2  in 2017.</w:t>
      </w:r>
    </w:p>
    <w:p w:rsidR="003C5E57" w:rsidRDefault="003C5E57">
      <w:pPr>
        <w:spacing w:before="40" w:line="36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3C5E57" w:rsidRDefault="00505BFD">
      <w:pPr>
        <w:spacing w:before="40" w:line="36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The Year 12 students have been following the new </w:t>
      </w:r>
      <w:proofErr w:type="gramStart"/>
      <w:r>
        <w:rPr>
          <w:rFonts w:ascii="Calibri" w:eastAsia="Calibri" w:hAnsi="Calibri" w:cs="Calibri"/>
          <w:sz w:val="22"/>
          <w:szCs w:val="22"/>
        </w:rPr>
        <w:t>Edexcel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Level course, with several also taking Further Maths A Level.  Maths and Further Maths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Level will continue to be offered in subsequent years</w:t>
      </w:r>
      <w:r>
        <w:rPr>
          <w:rFonts w:ascii="Calibri" w:eastAsia="Calibri" w:hAnsi="Calibri" w:cs="Calibri"/>
          <w:sz w:val="22"/>
          <w:szCs w:val="22"/>
        </w:rPr>
        <w:t>, and there is already a high number of our Year 11 students signing up for these courses.</w:t>
      </w:r>
    </w:p>
    <w:sectPr w:rsidR="003C5E57">
      <w:pgSz w:w="11906" w:h="16838"/>
      <w:pgMar w:top="719" w:right="1800" w:bottom="71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7"/>
    <w:rsid w:val="003C5E57"/>
    <w:rsid w:val="0050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BB061-D952-4BCB-A373-4301C46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Cutter</dc:creator>
  <cp:lastModifiedBy>mcutter</cp:lastModifiedBy>
  <cp:revision>2</cp:revision>
  <dcterms:created xsi:type="dcterms:W3CDTF">2018-03-26T09:40:00Z</dcterms:created>
  <dcterms:modified xsi:type="dcterms:W3CDTF">2018-03-26T09:40:00Z</dcterms:modified>
</cp:coreProperties>
</file>