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cs="Arial"/>
          <w:sz w:val="10"/>
        </w:rPr>
      </w:pPr>
      <w:r>
        <w:rPr>
          <w:noProof/>
          <w:lang w:eastAsia="en-GB"/>
        </w:rPr>
        <w:drawing>
          <wp:inline distT="0" distB="0" distL="0" distR="0">
            <wp:extent cx="1447800" cy="1447800"/>
            <wp:effectExtent l="0" t="0" r="0" b="0"/>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trPr>
          <w:trHeight w:val="295"/>
        </w:trPr>
        <w:tc>
          <w:tcPr>
            <w:tcW w:w="10525" w:type="dxa"/>
            <w:gridSpan w:val="2"/>
            <w:tcBorders>
              <w:bottom w:val="single" w:sz="12" w:space="0" w:color="FF0000"/>
            </w:tcBorders>
            <w:shd w:val="clear" w:color="auto" w:fill="auto"/>
          </w:tcPr>
          <w:p>
            <w:pPr>
              <w:spacing w:after="0" w:line="240" w:lineRule="auto"/>
              <w:rPr>
                <w:rFonts w:eastAsia="Times New Roman" w:cs="Arial"/>
              </w:rPr>
            </w:pPr>
            <w:r>
              <w:rPr>
                <w:rFonts w:eastAsia="Times New Roman" w:cs="Arial"/>
                <w:sz w:val="32"/>
              </w:rPr>
              <w:t>Safeguarding Officer job description</w:t>
            </w:r>
          </w:p>
        </w:tc>
      </w:tr>
      <w:tr>
        <w:trPr>
          <w:trHeight w:val="354"/>
        </w:trPr>
        <w:tc>
          <w:tcPr>
            <w:tcW w:w="10525" w:type="dxa"/>
            <w:gridSpan w:val="2"/>
            <w:tcBorders>
              <w:top w:val="single" w:sz="12" w:space="0" w:color="FF0000"/>
              <w:bottom w:val="nil"/>
            </w:tcBorders>
            <w:shd w:val="clear" w:color="auto" w:fill="auto"/>
          </w:tcPr>
          <w:p>
            <w:pPr>
              <w:spacing w:after="0" w:line="240" w:lineRule="auto"/>
              <w:rPr>
                <w:rFonts w:eastAsia="Times New Roman" w:cs="Arial"/>
              </w:rPr>
            </w:pP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eastAsia="Times New Roman" w:cs="Arial"/>
              </w:rPr>
              <w:t>Safeguarding Officer</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 xml:space="preserve">Salary / Grade </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cs="Arial"/>
                <w:bCs/>
              </w:rPr>
              <w:t>SO1 – SO2: Spine Point 29 – 34</w:t>
            </w:r>
            <w:bookmarkStart w:id="0" w:name="_GoBack"/>
            <w:bookmarkEnd w:id="0"/>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Hours</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cs="Arial"/>
                <w:bCs/>
              </w:rPr>
            </w:pPr>
            <w:r>
              <w:rPr>
                <w:rFonts w:cs="Arial"/>
                <w:bCs/>
              </w:rPr>
              <w:t>35 hours per week term-time only</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eastAsia="Times New Roman" w:cs="Arial"/>
              </w:rPr>
              <w:t>Safeguarding Lead</w:t>
            </w:r>
          </w:p>
        </w:tc>
      </w:tr>
    </w:tbl>
    <w:p>
      <w:pPr>
        <w:spacing w:after="0" w:line="240" w:lineRule="auto"/>
        <w:rPr>
          <w:rFonts w:cs="Arial"/>
        </w:rPr>
      </w:pPr>
    </w:p>
    <w:p>
      <w:pPr>
        <w:rPr>
          <w:rFonts w:asciiTheme="minorHAnsi" w:hAnsiTheme="minorHAnsi" w:cstheme="minorHAnsi"/>
          <w:b/>
          <w:sz w:val="24"/>
          <w:szCs w:val="24"/>
        </w:rPr>
      </w:pPr>
      <w:r>
        <w:rPr>
          <w:rFonts w:asciiTheme="minorHAnsi" w:hAnsiTheme="minorHAnsi" w:cstheme="minorHAnsi"/>
          <w:b/>
          <w:sz w:val="24"/>
          <w:szCs w:val="24"/>
        </w:rPr>
        <w:t>Key responsibilities</w:t>
      </w:r>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t>Safeguarding / Child Protection</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Act as named Safeguarding Officer.</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Liaison with social services, including follow up of all referrals and attending strategy meetings, core group meetings, child protection conferences and professionals meetings.</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Responsible for maintaining the child protection files.</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Liaison with Education Welfare Officer, Pastoral Managers and Achievement leaders regarding attendance and other issues of concern.</w:t>
      </w:r>
    </w:p>
    <w:p>
      <w:pPr>
        <w:pStyle w:val="ListParagraph"/>
        <w:numPr>
          <w:ilvl w:val="0"/>
          <w:numId w:val="14"/>
        </w:numPr>
        <w:rPr>
          <w:rFonts w:asciiTheme="minorHAnsi" w:hAnsiTheme="minorHAnsi" w:cstheme="minorHAnsi"/>
          <w:sz w:val="22"/>
          <w:szCs w:val="22"/>
        </w:rPr>
      </w:pPr>
      <w:r>
        <w:rPr>
          <w:rFonts w:asciiTheme="minorHAnsi" w:hAnsiTheme="minorHAnsi" w:cstheme="minorHAnsi"/>
        </w:rPr>
        <w:t>Have knowledge of, and adhere to, safeguarding policies and procedures.</w:t>
      </w:r>
    </w:p>
    <w:p>
      <w:pPr>
        <w:pStyle w:val="ListParagraph"/>
        <w:numPr>
          <w:ilvl w:val="0"/>
          <w:numId w:val="14"/>
        </w:numPr>
        <w:rPr>
          <w:rFonts w:asciiTheme="minorHAnsi" w:hAnsiTheme="minorHAnsi" w:cstheme="minorHAnsi"/>
        </w:rPr>
      </w:pPr>
      <w:r>
        <w:rPr>
          <w:rFonts w:asciiTheme="minorHAnsi" w:hAnsiTheme="minorHAnsi" w:cstheme="minorHAnsi"/>
        </w:rPr>
        <w:t>Ensure the welfare of children is safeguarded and promoted in line with current best practice and any relevant legislation.</w:t>
      </w:r>
    </w:p>
    <w:p>
      <w:pPr>
        <w:pStyle w:val="ListParagraph"/>
        <w:rPr>
          <w:rFonts w:asciiTheme="minorHAnsi" w:hAnsiTheme="minorHAnsi" w:cstheme="minorHAnsi"/>
          <w:sz w:val="22"/>
          <w:szCs w:val="22"/>
        </w:rPr>
      </w:pPr>
    </w:p>
    <w:p>
      <w:pPr>
        <w:pStyle w:val="ListParagraph"/>
        <w:rPr>
          <w:rFonts w:asciiTheme="minorHAnsi" w:hAnsiTheme="minorHAnsi" w:cstheme="minorHAnsi"/>
          <w:sz w:val="22"/>
          <w:szCs w:val="22"/>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Looked After Children</w:t>
      </w:r>
    </w:p>
    <w:p>
      <w:pPr>
        <w:pStyle w:val="ListParagraph"/>
        <w:numPr>
          <w:ilvl w:val="0"/>
          <w:numId w:val="13"/>
        </w:numPr>
        <w:rPr>
          <w:rFonts w:asciiTheme="minorHAnsi" w:hAnsiTheme="minorHAnsi" w:cstheme="minorHAnsi"/>
        </w:rPr>
      </w:pPr>
      <w:r>
        <w:rPr>
          <w:rFonts w:asciiTheme="minorHAnsi" w:hAnsiTheme="minorHAnsi" w:cstheme="minorHAnsi"/>
        </w:rPr>
        <w:t>Responsibility for looked after children, including individual meetings, liaison with foster carers, social workers and the Virtual School.</w:t>
      </w:r>
    </w:p>
    <w:p>
      <w:pPr>
        <w:pStyle w:val="ListParagraph"/>
        <w:numPr>
          <w:ilvl w:val="0"/>
          <w:numId w:val="13"/>
        </w:numPr>
        <w:rPr>
          <w:rFonts w:asciiTheme="minorHAnsi" w:hAnsiTheme="minorHAnsi" w:cstheme="minorHAnsi"/>
        </w:rPr>
      </w:pPr>
      <w:r>
        <w:rPr>
          <w:rFonts w:asciiTheme="minorHAnsi" w:hAnsiTheme="minorHAnsi" w:cstheme="minorHAnsi"/>
        </w:rPr>
        <w:t>Attending LAC reviews where appropriate.</w:t>
      </w:r>
    </w:p>
    <w:p>
      <w:pPr>
        <w:pStyle w:val="ListParagraph"/>
        <w:numPr>
          <w:ilvl w:val="0"/>
          <w:numId w:val="13"/>
        </w:numPr>
        <w:rPr>
          <w:rFonts w:asciiTheme="minorHAnsi" w:hAnsiTheme="minorHAnsi" w:cstheme="minorHAnsi"/>
        </w:rPr>
      </w:pPr>
      <w:r>
        <w:rPr>
          <w:rFonts w:asciiTheme="minorHAnsi" w:hAnsiTheme="minorHAnsi" w:cstheme="minorHAnsi"/>
        </w:rPr>
        <w:t>Arranging Personal Education Plans and monitoring the progress of all LAC.</w:t>
      </w:r>
    </w:p>
    <w:p>
      <w:pPr>
        <w:pStyle w:val="ListParagraph"/>
        <w:numPr>
          <w:ilvl w:val="0"/>
          <w:numId w:val="13"/>
        </w:numPr>
        <w:rPr>
          <w:rFonts w:asciiTheme="minorHAnsi" w:hAnsiTheme="minorHAnsi" w:cstheme="minorHAnsi"/>
        </w:rPr>
      </w:pPr>
      <w:r>
        <w:rPr>
          <w:rFonts w:asciiTheme="minorHAnsi" w:hAnsiTheme="minorHAnsi" w:cstheme="minorHAnsi"/>
        </w:rPr>
        <w:t>Responsible for monitoring the register of looked after children.</w:t>
      </w:r>
    </w:p>
    <w:p>
      <w:pPr>
        <w:pStyle w:val="ListParagraph"/>
        <w:numPr>
          <w:ilvl w:val="0"/>
          <w:numId w:val="13"/>
        </w:numPr>
        <w:rPr>
          <w:rFonts w:asciiTheme="minorHAnsi" w:hAnsiTheme="minorHAnsi" w:cstheme="minorHAnsi"/>
        </w:rPr>
      </w:pPr>
      <w:r>
        <w:rPr>
          <w:rFonts w:asciiTheme="minorHAnsi" w:hAnsiTheme="minorHAnsi" w:cstheme="minorHAnsi"/>
        </w:rPr>
        <w:t>Responsible for informing teaching staff of the needs of looked after children.</w:t>
      </w:r>
    </w:p>
    <w:p>
      <w:pPr>
        <w:pStyle w:val="ListParagraph"/>
        <w:rPr>
          <w:rFonts w:asciiTheme="minorHAnsi" w:hAnsiTheme="minorHAnsi" w:cstheme="minorHAnsi"/>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External Support Agencies</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Liaison with and referrals to CAMHS in conjunction with pastoral staff and the senior leadership team.</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Managing referrals to other outside agencies such as Early Help and other support services.</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Liaise with the school medical services regarding referrals made.</w:t>
      </w:r>
    </w:p>
    <w:p>
      <w:pPr>
        <w:pStyle w:val="ListParagraph"/>
        <w:rPr>
          <w:rFonts w:asciiTheme="minorHAnsi" w:hAnsiTheme="minorHAnsi" w:cstheme="minorHAnsi"/>
          <w:sz w:val="22"/>
          <w:szCs w:val="22"/>
        </w:rPr>
      </w:pPr>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t>Students and Families</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Individual counselling and work with students and families referred by pastoral staff and the senior leadership team.</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organisation and training of the peer mentors.</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Attend relevant year and senior leadership team/head of year group meetings.</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Attend team around the child/family meetings.</w:t>
      </w:r>
    </w:p>
    <w:p>
      <w:pPr>
        <w:pStyle w:val="ListParagraph"/>
      </w:pPr>
    </w:p>
    <w:p>
      <w:pPr>
        <w:pStyle w:val="ListParagraph"/>
      </w:pPr>
    </w:p>
    <w:p>
      <w:pPr>
        <w:pStyle w:val="ListParagraph"/>
      </w:pPr>
    </w:p>
    <w:p>
      <w:pPr>
        <w:pStyle w:val="ListParagraph"/>
      </w:pPr>
    </w:p>
    <w:p>
      <w:pPr>
        <w:pStyle w:val="ListParagraph"/>
      </w:pPr>
    </w:p>
    <w:p>
      <w:pPr>
        <w:pStyle w:val="ListParagraph"/>
      </w:pPr>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t>Support and Standards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Provide support and advice to students in line with promoting their social care and personal development with respect to learning and health and safety.</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Respond to and take steps to resolve relationship issues between students.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Provide general student support e.g. lost items, upsets.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Monitor attendance - Use MIS to inform parents/carers.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Ensure high standard of uniform.</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Follow up attendance matters, including for agreed target students and contact or meet with parents/carers.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Collect and collate statements relating to incidents, following up directly when appropriate.</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Contribute to Pastoral Support Plans.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Contribute to academic meetings relating to the pastoral manager’s year groups as requested.</w:t>
      </w:r>
    </w:p>
    <w:p>
      <w:pPr>
        <w:pStyle w:val="NoSpacing"/>
        <w:ind w:left="720"/>
        <w:rPr>
          <w:rFonts w:asciiTheme="minorHAnsi" w:hAnsiTheme="minorHAnsi" w:cstheme="minorHAnsi"/>
          <w:sz w:val="24"/>
          <w:szCs w:val="24"/>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Communication</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Be the first point of contact for parents/carers, being responsible for and dealing with issues when appropriate and referring to other staff for action.</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Ensure contact is made to parents/carers whenever incidents are dealt with by self or when delegated to contact by others.</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Produce appropriate records of incidents dealt with – e.g. bullying, racial incident files.</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Seek reports on student progress from staff.</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Arrange parental meetings as necessary.</w:t>
      </w:r>
    </w:p>
    <w:p>
      <w:pPr>
        <w:pStyle w:val="NoSpacing"/>
        <w:rPr>
          <w:rFonts w:asciiTheme="minorHAnsi" w:hAnsiTheme="minorHAnsi" w:cstheme="minorHAnsi"/>
          <w:sz w:val="24"/>
          <w:szCs w:val="24"/>
        </w:rPr>
      </w:pPr>
    </w:p>
    <w:p>
      <w:pPr>
        <w:pStyle w:val="NoSpacing"/>
        <w:numPr>
          <w:ilvl w:val="0"/>
          <w:numId w:val="8"/>
        </w:numPr>
        <w:rPr>
          <w:rFonts w:asciiTheme="minorHAnsi" w:hAnsiTheme="minorHAnsi" w:cstheme="minorHAnsi"/>
          <w:b/>
          <w:sz w:val="24"/>
          <w:szCs w:val="24"/>
        </w:rPr>
      </w:pPr>
      <w:r>
        <w:rPr>
          <w:rFonts w:asciiTheme="minorHAnsi" w:hAnsiTheme="minorHAnsi" w:cstheme="minorHAnsi"/>
          <w:b/>
          <w:sz w:val="24"/>
          <w:szCs w:val="24"/>
        </w:rPr>
        <w:t>Evaluation</w:t>
      </w:r>
    </w:p>
    <w:p>
      <w:pPr>
        <w:pStyle w:val="NoSpacing"/>
        <w:rPr>
          <w:rFonts w:asciiTheme="minorHAnsi" w:hAnsiTheme="minorHAnsi" w:cstheme="minorHAnsi"/>
          <w:b/>
          <w:sz w:val="24"/>
          <w:szCs w:val="24"/>
        </w:rPr>
      </w:pPr>
    </w:p>
    <w:p>
      <w:pPr>
        <w:pStyle w:val="NoSpacing"/>
        <w:numPr>
          <w:ilvl w:val="0"/>
          <w:numId w:val="11"/>
        </w:numPr>
        <w:jc w:val="both"/>
        <w:rPr>
          <w:rFonts w:asciiTheme="minorHAnsi" w:hAnsiTheme="minorHAnsi" w:cstheme="minorHAnsi"/>
          <w:sz w:val="24"/>
          <w:szCs w:val="24"/>
        </w:rPr>
      </w:pPr>
      <w:r>
        <w:rPr>
          <w:rFonts w:asciiTheme="minorHAnsi" w:hAnsiTheme="minorHAnsi" w:cstheme="minorHAnsi"/>
          <w:sz w:val="24"/>
          <w:szCs w:val="24"/>
        </w:rPr>
        <w:t>Monitor levels of bullying and implement policies and strategies to combat it.</w:t>
      </w:r>
    </w:p>
    <w:p>
      <w:pPr>
        <w:pStyle w:val="NoSpacing"/>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Produce reports on levels of incidents dealt with and other issues relevant to the post. </w:t>
      </w:r>
    </w:p>
    <w:p>
      <w:pPr>
        <w:pStyle w:val="NoSpacing"/>
        <w:numPr>
          <w:ilvl w:val="0"/>
          <w:numId w:val="3"/>
        </w:numPr>
        <w:jc w:val="both"/>
        <w:rPr>
          <w:rFonts w:asciiTheme="minorHAnsi" w:hAnsiTheme="minorHAnsi" w:cstheme="minorHAnsi"/>
          <w:sz w:val="24"/>
          <w:szCs w:val="24"/>
        </w:rPr>
      </w:pPr>
      <w:r>
        <w:rPr>
          <w:rFonts w:asciiTheme="minorHAnsi" w:hAnsiTheme="minorHAnsi" w:cstheme="minorHAnsi"/>
          <w:sz w:val="24"/>
          <w:szCs w:val="24"/>
        </w:rPr>
        <w:t>Engage actively in the performance review and development process, including undertaking the role of appraiser for identified staff.</w:t>
      </w:r>
    </w:p>
    <w:p>
      <w:pPr>
        <w:pStyle w:val="NoSpacing"/>
        <w:rPr>
          <w:rFonts w:asciiTheme="minorHAnsi" w:hAnsiTheme="minorHAnsi" w:cstheme="minorHAnsi"/>
          <w:sz w:val="24"/>
          <w:szCs w:val="24"/>
        </w:rPr>
      </w:pPr>
    </w:p>
    <w:p>
      <w:pPr>
        <w:pStyle w:val="ListParagraph"/>
        <w:numPr>
          <w:ilvl w:val="0"/>
          <w:numId w:val="8"/>
        </w:numPr>
        <w:rPr>
          <w:rFonts w:asciiTheme="minorHAnsi" w:hAnsiTheme="minorHAnsi" w:cstheme="minorHAnsi"/>
          <w:b/>
        </w:rPr>
      </w:pPr>
      <w:r>
        <w:rPr>
          <w:rFonts w:asciiTheme="minorHAnsi" w:hAnsiTheme="minorHAnsi" w:cstheme="minorHAnsi"/>
          <w:b/>
        </w:rPr>
        <w:t>General</w:t>
      </w:r>
    </w:p>
    <w:p>
      <w:pPr>
        <w:pStyle w:val="ListParagraph"/>
        <w:ind w:left="360"/>
        <w:rPr>
          <w:rFonts w:asciiTheme="minorHAnsi" w:hAnsiTheme="minorHAnsi" w:cstheme="minorHAnsi"/>
          <w:b/>
        </w:rPr>
      </w:pP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Contribute to school development through identified communication and consultation channels.</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To respect the confidential nature of information relating to the school and its students.</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Comply with any reasonable request from management to undertake work of a similar level that is not specified in this job description</w:t>
      </w:r>
    </w:p>
    <w:p>
      <w:pPr>
        <w:pStyle w:val="ListParagraph"/>
        <w:ind w:left="360"/>
        <w:rPr>
          <w:rFonts w:asciiTheme="minorHAnsi" w:hAnsiTheme="minorHAnsi" w:cstheme="minorHAnsi"/>
          <w:b/>
        </w:rPr>
      </w:pPr>
    </w:p>
    <w:p>
      <w:pPr>
        <w:pStyle w:val="ListParagraph"/>
        <w:numPr>
          <w:ilvl w:val="0"/>
          <w:numId w:val="8"/>
        </w:numPr>
        <w:rPr>
          <w:rFonts w:asciiTheme="minorHAnsi" w:hAnsiTheme="minorHAnsi" w:cstheme="minorHAnsi"/>
          <w:b/>
        </w:rPr>
      </w:pPr>
      <w:r>
        <w:rPr>
          <w:rFonts w:asciiTheme="minorHAnsi" w:hAnsiTheme="minorHAnsi" w:cstheme="minorHAnsi"/>
          <w:b/>
        </w:rPr>
        <w:t>Safeguarding and Promoting the Welfare of Children</w:t>
      </w:r>
    </w:p>
    <w:p>
      <w:pPr>
        <w:spacing w:after="0" w:line="240" w:lineRule="auto"/>
        <w:rPr>
          <w:rFonts w:asciiTheme="minorHAnsi" w:hAnsiTheme="minorHAnsi" w:cstheme="minorHAnsi"/>
          <w:b/>
          <w:sz w:val="24"/>
          <w:szCs w:val="24"/>
        </w:rPr>
      </w:pPr>
    </w:p>
    <w:p>
      <w:pPr>
        <w:pStyle w:val="ListParagraph"/>
        <w:numPr>
          <w:ilvl w:val="0"/>
          <w:numId w:val="1"/>
        </w:numPr>
        <w:rPr>
          <w:rFonts w:asciiTheme="minorHAnsi" w:hAnsiTheme="minorHAnsi" w:cstheme="minorHAnsi"/>
        </w:rPr>
      </w:pPr>
      <w:r>
        <w:rPr>
          <w:rFonts w:asciiTheme="minorHAnsi" w:hAnsiTheme="minorHAnsi" w:cstheme="minorHAnsi"/>
        </w:rPr>
        <w:t>Ensure a safe and supportive academy culture.</w:t>
      </w:r>
    </w:p>
    <w:p>
      <w:pPr>
        <w:pStyle w:val="ListParagraph"/>
        <w:numPr>
          <w:ilvl w:val="0"/>
          <w:numId w:val="1"/>
        </w:numPr>
        <w:rPr>
          <w:rFonts w:asciiTheme="minorHAnsi" w:hAnsiTheme="minorHAnsi" w:cstheme="minorHAnsi"/>
        </w:rPr>
      </w:pPr>
      <w:r>
        <w:rPr>
          <w:rFonts w:asciiTheme="minorHAnsi" w:hAnsiTheme="minorHAnsi" w:cstheme="minorHAnsi"/>
        </w:rPr>
        <w:t>Ensure equality of opportunity for all students in order that they may achieve to the best of their ability.</w:t>
      </w:r>
    </w:p>
    <w:p>
      <w:pPr>
        <w:pStyle w:val="ListParagraph"/>
        <w:numPr>
          <w:ilvl w:val="0"/>
          <w:numId w:val="1"/>
        </w:numPr>
        <w:rPr>
          <w:rFonts w:asciiTheme="minorHAnsi" w:hAnsiTheme="minorHAnsi" w:cstheme="minorHAnsi"/>
        </w:rPr>
      </w:pPr>
      <w:r>
        <w:rPr>
          <w:rFonts w:asciiTheme="minorHAnsi" w:hAnsiTheme="minorHAnsi" w:cstheme="minorHAnsi"/>
        </w:rPr>
        <w:t>Be aware of and understand the duties and responsibilities arising from the Children’s Act 2004 and statutory guidance Keeping Children Safe in Education 2016 in relation to child protection and safeguarding children, young people and vulnerable adults as it relates to this role.</w:t>
      </w:r>
    </w:p>
    <w:p>
      <w:pPr>
        <w:pStyle w:val="ListParagraph"/>
        <w:ind w:left="0"/>
        <w:rPr>
          <w:rFonts w:asciiTheme="minorHAnsi" w:hAnsiTheme="minorHAnsi" w:cstheme="minorHAnsi"/>
        </w:rPr>
      </w:pPr>
    </w:p>
    <w:p>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Because of the nature of the post, candidates are not entitled to withhold information regarding convictions by virtue of the Rehabilitation of Offenders Act 1974 (Exemptions) Order 1975 as amended. </w:t>
      </w:r>
      <w:r>
        <w:rPr>
          <w:rFonts w:asciiTheme="minorHAnsi" w:hAnsiTheme="minorHAnsi" w:cstheme="minorHAnsi"/>
          <w:sz w:val="24"/>
          <w:szCs w:val="24"/>
        </w:rPr>
        <w:lastRenderedPageBreak/>
        <w:t>Candidates are required to give details of any convictions on their application form and are expected to disclose such information at the appointed interview.</w:t>
      </w:r>
    </w:p>
    <w:p>
      <w:pPr>
        <w:spacing w:after="0" w:line="240" w:lineRule="auto"/>
        <w:jc w:val="both"/>
        <w:rPr>
          <w:rFonts w:asciiTheme="minorHAnsi" w:hAnsiTheme="minorHAnsi" w:cstheme="minorHAnsi"/>
          <w:sz w:val="24"/>
          <w:szCs w:val="24"/>
        </w:rPr>
      </w:pPr>
    </w:p>
    <w:p>
      <w:pPr>
        <w:spacing w:after="0" w:line="240" w:lineRule="auto"/>
        <w:jc w:val="both"/>
        <w:rPr>
          <w:rFonts w:asciiTheme="minorHAnsi" w:hAnsiTheme="minorHAnsi" w:cstheme="minorHAnsi"/>
          <w:b/>
          <w:bCs/>
          <w:sz w:val="24"/>
          <w:szCs w:val="24"/>
        </w:rPr>
      </w:pPr>
      <w:r>
        <w:rPr>
          <w:rFonts w:asciiTheme="minorHAnsi" w:hAnsiTheme="minorHAnsi" w:cstheme="minorHAnsi"/>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City of London Academies Trust to ascertain details from the Metropolitan Police regarding any convictions against them and, as appropriate the nature of such convictions.</w:t>
      </w:r>
      <w:r>
        <w:rPr>
          <w:rFonts w:asciiTheme="minorHAnsi" w:hAnsiTheme="minorHAnsi" w:cstheme="minorHAnsi"/>
          <w:b/>
          <w:bCs/>
          <w:sz w:val="24"/>
          <w:szCs w:val="24"/>
        </w:rPr>
        <w:t xml:space="preserve"> </w:t>
      </w:r>
      <w:r>
        <w:rPr>
          <w:rFonts w:asciiTheme="minorHAnsi" w:hAnsiTheme="minorHAnsi" w:cstheme="minorHAnsi"/>
          <w:sz w:val="24"/>
          <w:szCs w:val="24"/>
        </w:rPr>
        <w:t xml:space="preserve">The academy is committed to safeguarding and promoting the welfare of children and young people and we expect all staff to share this commitment. </w:t>
      </w:r>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Date of issue</w:t>
      </w:r>
      <w:proofErr w:type="gramStart"/>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Signature of post holder</w:t>
      </w:r>
      <w:proofErr w:type="gramStart"/>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Signature of Chair of Governors</w:t>
      </w:r>
      <w:proofErr w:type="gramStart"/>
      <w:r>
        <w:rPr>
          <w:rFonts w:asciiTheme="minorHAnsi" w:hAnsiTheme="minorHAnsi" w:cstheme="minorHAnsi"/>
          <w:sz w:val="24"/>
          <w:szCs w:val="24"/>
        </w:rPr>
        <w:t>:</w:t>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pPr>
        <w:spacing w:after="0" w:line="240" w:lineRule="auto"/>
        <w:rPr>
          <w:rFonts w:asciiTheme="minorHAnsi" w:hAnsiTheme="minorHAnsi" w:cstheme="minorHAnsi"/>
        </w:rPr>
      </w:pPr>
    </w:p>
    <w:p>
      <w:pPr>
        <w:spacing w:after="0" w:line="240" w:lineRule="auto"/>
        <w:rPr>
          <w:rFonts w:asciiTheme="minorHAnsi" w:hAnsiTheme="minorHAnsi" w:cstheme="minorHAnsi"/>
        </w:rPr>
      </w:pPr>
    </w:p>
    <w:tbl>
      <w:tblPr>
        <w:tblW w:w="9640"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413"/>
      </w:tblGrid>
      <w:tr>
        <w:trPr>
          <w:gridAfter w:val="1"/>
          <w:wAfter w:w="413" w:type="dxa"/>
          <w:trHeight w:val="283"/>
        </w:trPr>
        <w:tc>
          <w:tcPr>
            <w:tcW w:w="9227" w:type="dxa"/>
            <w:gridSpan w:val="3"/>
            <w:tcBorders>
              <w:bottom w:val="single" w:sz="12" w:space="0" w:color="FF0000"/>
            </w:tcBorders>
            <w:shd w:val="clear" w:color="auto" w:fill="auto"/>
          </w:tcPr>
          <w:p>
            <w:pPr>
              <w:spacing w:after="0" w:line="240" w:lineRule="auto"/>
              <w:rPr>
                <w:rFonts w:asciiTheme="minorHAnsi" w:eastAsia="Times New Roman" w:hAnsiTheme="minorHAnsi" w:cstheme="minorHAnsi"/>
                <w:sz w:val="32"/>
                <w:szCs w:val="32"/>
              </w:rPr>
            </w:pPr>
            <w:r>
              <w:rPr>
                <w:rFonts w:asciiTheme="minorHAnsi" w:eastAsia="Times New Roman" w:hAnsiTheme="minorHAnsi" w:cstheme="minorHAnsi"/>
                <w:sz w:val="32"/>
                <w:szCs w:val="32"/>
              </w:rPr>
              <w:t>Person specification</w:t>
            </w:r>
          </w:p>
        </w:tc>
      </w:tr>
      <w:tr>
        <w:trPr>
          <w:gridAfter w:val="1"/>
          <w:wAfter w:w="413" w:type="dxa"/>
          <w:trHeight w:val="62"/>
        </w:trPr>
        <w:tc>
          <w:tcPr>
            <w:tcW w:w="9227" w:type="dxa"/>
            <w:gridSpan w:val="3"/>
            <w:tcBorders>
              <w:top w:val="single" w:sz="12" w:space="0" w:color="FF0000"/>
              <w:bottom w:val="nil"/>
            </w:tcBorders>
            <w:shd w:val="clear" w:color="auto" w:fill="auto"/>
          </w:tcPr>
          <w:p>
            <w:pPr>
              <w:spacing w:after="0" w:line="240" w:lineRule="auto"/>
              <w:rPr>
                <w:rFonts w:asciiTheme="minorHAnsi" w:eastAsia="Times New Roman" w:hAnsiTheme="minorHAnsi" w:cstheme="minorHAnsi"/>
              </w:rPr>
            </w:pPr>
          </w:p>
        </w:tc>
      </w:tr>
      <w:tr>
        <w:trPr>
          <w:trHeight w:val="234"/>
        </w:trPr>
        <w:tc>
          <w:tcPr>
            <w:tcW w:w="7372" w:type="dxa"/>
            <w:tcBorders>
              <w:top w:val="nil"/>
              <w:left w:val="nil"/>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b/>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Essential</w:t>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Desirable</w:t>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Graduate degree or equivalent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hAnsiTheme="minorHAnsi" w:cstheme="minorHAnsi"/>
                <w:sz w:val="20"/>
                <w:szCs w:val="20"/>
              </w:rPr>
            </w:pPr>
            <w:r>
              <w:rPr>
                <w:rFonts w:asciiTheme="minorHAnsi" w:hAnsiTheme="minorHAnsi" w:cstheme="minorHAnsi"/>
                <w:sz w:val="20"/>
                <w:szCs w:val="20"/>
              </w:rPr>
              <w:t>Be able to demonstrate a willingness to attend appropriate training and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Experience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Good listening, oral and literacy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Writing agendas and accurate concise minutes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High levels of computer literacy</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hAnsiTheme="minorHAnsi" w:cstheme="minorHAnsi"/>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school management information systems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Ability to prioritise and work under pressure with varying deadlines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Organise meetings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Record keeping, information retrieval and dissemination of data / documentation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Use of internet to access relevant information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Developing and maintaining contacts with outside agencies e.g. Local authority, DFE,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Data Protection legislation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Relevant personal and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Working in an environment where experience including taking initiative  and self-motivation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hAnsiTheme="minorHAnsi" w:cstheme="minorHAnsi"/>
                <w:sz w:val="20"/>
                <w:szCs w:val="20"/>
              </w:rPr>
              <w:t>Working as a member of a team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Personal Attributes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Be able to maintain confidentiality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Be able to remain impartial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Have a flexible approach to working hours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Have a positive attitude to personal development and training</w:t>
            </w:r>
          </w:p>
          <w:p>
            <w:pPr>
              <w:spacing w:after="0" w:line="240" w:lineRule="auto"/>
              <w:rPr>
                <w:rFonts w:asciiTheme="minorHAnsi" w:eastAsia="Times New Roman"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hAnsiTheme="minorHAnsi" w:cstheme="minorHAnsi"/>
                <w:sz w:val="20"/>
                <w:szCs w:val="20"/>
              </w:rPr>
              <w:t>Good interpersonal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Vision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the Academy Strategic Plan and KPIs and the role to be played by the personal assistant to the principal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Resilience and motivation to support the academy through day-to-day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Skilful management and understanding of how to secure strong relationships with other academy staff, families and other external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Demonstrate personal enthusiasm and commitment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Evidence of commitment to and understanding of collective responsibility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bl>
    <w:p>
      <w:pPr>
        <w:spacing w:after="0" w:line="240" w:lineRule="auto"/>
        <w:rPr>
          <w:rFonts w:asciiTheme="minorHAnsi" w:hAnsiTheme="minorHAnsi" w:cstheme="minorHAnsi"/>
          <w:b/>
          <w:color w:val="808080"/>
        </w:rPr>
      </w:pPr>
    </w:p>
    <w:p>
      <w:pPr>
        <w:spacing w:after="0" w:line="240" w:lineRule="auto"/>
        <w:rPr>
          <w:rFonts w:asciiTheme="minorHAnsi" w:hAnsiTheme="minorHAnsi" w:cstheme="minorHAnsi"/>
          <w:b/>
          <w:color w:val="808080"/>
        </w:rPr>
      </w:pPr>
    </w:p>
    <w:sectPr>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16"/>
    <w:multiLevelType w:val="hybridMultilevel"/>
    <w:tmpl w:val="B0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517D1"/>
    <w:multiLevelType w:val="hybridMultilevel"/>
    <w:tmpl w:val="778CA202"/>
    <w:lvl w:ilvl="0" w:tplc="AE1878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3761B"/>
    <w:multiLevelType w:val="hybridMultilevel"/>
    <w:tmpl w:val="F3AE1E6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796390"/>
    <w:multiLevelType w:val="hybridMultilevel"/>
    <w:tmpl w:val="9C2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403D9"/>
    <w:multiLevelType w:val="hybridMultilevel"/>
    <w:tmpl w:val="6F300E76"/>
    <w:lvl w:ilvl="0" w:tplc="B18827C0">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5B1A55"/>
    <w:multiLevelType w:val="hybridMultilevel"/>
    <w:tmpl w:val="D8B68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73481A"/>
    <w:multiLevelType w:val="hybridMultilevel"/>
    <w:tmpl w:val="B57E4F3C"/>
    <w:lvl w:ilvl="0" w:tplc="91BEA80E">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800E2A"/>
    <w:multiLevelType w:val="hybridMultilevel"/>
    <w:tmpl w:val="4852EEA8"/>
    <w:lvl w:ilvl="0" w:tplc="55FE4FE4">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81689E"/>
    <w:multiLevelType w:val="hybridMultilevel"/>
    <w:tmpl w:val="6D9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BA2345"/>
    <w:multiLevelType w:val="hybridMultilevel"/>
    <w:tmpl w:val="985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60907"/>
    <w:multiLevelType w:val="hybridMultilevel"/>
    <w:tmpl w:val="EEB2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C75D90"/>
    <w:multiLevelType w:val="hybridMultilevel"/>
    <w:tmpl w:val="07604A78"/>
    <w:lvl w:ilvl="0" w:tplc="EDCEB37A">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B331BF"/>
    <w:multiLevelType w:val="hybridMultilevel"/>
    <w:tmpl w:val="A9DCDA22"/>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73E90"/>
    <w:multiLevelType w:val="hybridMultilevel"/>
    <w:tmpl w:val="A1E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36D08"/>
    <w:multiLevelType w:val="hybridMultilevel"/>
    <w:tmpl w:val="1A7EDC8E"/>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53350"/>
    <w:multiLevelType w:val="hybridMultilevel"/>
    <w:tmpl w:val="908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7"/>
  </w:num>
  <w:num w:numId="6">
    <w:abstractNumId w:val="11"/>
  </w:num>
  <w:num w:numId="7">
    <w:abstractNumId w:val="6"/>
  </w:num>
  <w:num w:numId="8">
    <w:abstractNumId w:val="5"/>
  </w:num>
  <w:num w:numId="9">
    <w:abstractNumId w:val="14"/>
  </w:num>
  <w:num w:numId="10">
    <w:abstractNumId w:val="12"/>
  </w:num>
  <w:num w:numId="11">
    <w:abstractNumId w:val="1"/>
  </w:num>
  <w:num w:numId="12">
    <w:abstractNumId w:val="2"/>
  </w:num>
  <w:num w:numId="13">
    <w:abstractNumId w:val="9"/>
  </w:num>
  <w:num w:numId="14">
    <w:abstractNumId w:val="15"/>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437">
      <w:bodyDiv w:val="1"/>
      <w:marLeft w:val="0"/>
      <w:marRight w:val="0"/>
      <w:marTop w:val="0"/>
      <w:marBottom w:val="0"/>
      <w:divBdr>
        <w:top w:val="none" w:sz="0" w:space="0" w:color="auto"/>
        <w:left w:val="none" w:sz="0" w:space="0" w:color="auto"/>
        <w:bottom w:val="none" w:sz="0" w:space="0" w:color="auto"/>
        <w:right w:val="none" w:sz="0" w:space="0" w:color="auto"/>
      </w:divBdr>
    </w:div>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 w:id="18871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C93.CEAD016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166F-CFDA-452C-A1FA-6518D2BC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CA05A77A</Template>
  <TotalTime>276</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7917</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12</cp:revision>
  <cp:lastPrinted>2015-02-17T07:59:00Z</cp:lastPrinted>
  <dcterms:created xsi:type="dcterms:W3CDTF">2018-01-26T12:30:00Z</dcterms:created>
  <dcterms:modified xsi:type="dcterms:W3CDTF">2018-06-11T12:53:00Z</dcterms:modified>
</cp:coreProperties>
</file>