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6A" w:rsidRPr="00E2435A" w:rsidRDefault="00453D9E" w:rsidP="00584CA0">
      <w:pPr>
        <w:kinsoku w:val="0"/>
        <w:overflowPunct w:val="0"/>
        <w:autoSpaceDE/>
        <w:autoSpaceDN/>
        <w:adjustRightInd/>
        <w:spacing w:line="279" w:lineRule="exact"/>
        <w:ind w:left="144"/>
        <w:jc w:val="center"/>
        <w:textAlignment w:val="baseline"/>
        <w:rPr>
          <w:rFonts w:asciiTheme="minorHAnsi" w:hAnsiTheme="minorHAnsi" w:cs="Arial"/>
          <w:i/>
          <w:iCs/>
          <w:sz w:val="24"/>
          <w:szCs w:val="24"/>
        </w:rPr>
      </w:pPr>
      <w:r>
        <w:rPr>
          <w:rFonts w:asciiTheme="minorHAnsi" w:hAnsiTheme="minorHAnsi" w:cs="Arial"/>
          <w:i/>
          <w:iCs/>
          <w:noProof/>
          <w:sz w:val="24"/>
          <w:szCs w:val="24"/>
          <w:lang w:eastAsia="en-US"/>
        </w:rPr>
        <w:drawing>
          <wp:anchor distT="0" distB="0" distL="114300" distR="114300" simplePos="0" relativeHeight="251659264" behindDoc="1" locked="0" layoutInCell="1" allowOverlap="1">
            <wp:simplePos x="0" y="0"/>
            <wp:positionH relativeFrom="column">
              <wp:posOffset>-308610</wp:posOffset>
            </wp:positionH>
            <wp:positionV relativeFrom="paragraph">
              <wp:posOffset>-622935</wp:posOffset>
            </wp:positionV>
            <wp:extent cx="861060" cy="1146810"/>
            <wp:effectExtent l="0" t="0" r="0" b="0"/>
            <wp:wrapTight wrapText="bothSides">
              <wp:wrapPolygon edited="0">
                <wp:start x="0" y="0"/>
                <wp:lineTo x="0" y="21169"/>
                <wp:lineTo x="21027" y="21169"/>
                <wp:lineTo x="21027" y="0"/>
                <wp:lineTo x="0"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sidRPr="00E2435A">
        <w:rPr>
          <w:rFonts w:asciiTheme="minorHAnsi" w:hAnsiTheme="minorHAnsi" w:cs="Arial"/>
          <w:b/>
          <w:bCs/>
          <w:sz w:val="24"/>
          <w:szCs w:val="24"/>
        </w:rPr>
        <w:t>Headteacher Job Description</w:t>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Catholic Voluntary Aided Schools</w:t>
      </w:r>
    </w:p>
    <w:p w:rsidR="00584CA0" w:rsidRPr="00E2435A" w:rsidRDefault="005C272C"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St Anthony’s</w:t>
      </w:r>
      <w:r w:rsidR="00453D9E">
        <w:rPr>
          <w:rFonts w:asciiTheme="minorHAnsi" w:hAnsiTheme="minorHAnsi" w:cs="Arial"/>
          <w:b/>
          <w:bCs/>
          <w:sz w:val="24"/>
          <w:szCs w:val="24"/>
        </w:rPr>
        <w:t xml:space="preserve"> Catholic</w:t>
      </w:r>
      <w:r w:rsidR="00584CA0">
        <w:rPr>
          <w:rFonts w:asciiTheme="minorHAnsi" w:hAnsiTheme="minorHAnsi" w:cs="Arial"/>
          <w:b/>
          <w:bCs/>
          <w:sz w:val="24"/>
          <w:szCs w:val="24"/>
        </w:rPr>
        <w:t xml:space="preserve"> </w:t>
      </w:r>
      <w:r>
        <w:rPr>
          <w:rFonts w:asciiTheme="minorHAnsi" w:hAnsiTheme="minorHAnsi" w:cs="Arial"/>
          <w:b/>
          <w:bCs/>
          <w:sz w:val="24"/>
          <w:szCs w:val="24"/>
        </w:rPr>
        <w:t xml:space="preserve">Primary </w:t>
      </w:r>
      <w:bookmarkStart w:id="0" w:name="_GoBack"/>
      <w:bookmarkEnd w:id="0"/>
      <w:r w:rsidR="00584CA0">
        <w:rPr>
          <w:rFonts w:asciiTheme="minorHAnsi" w:hAnsiTheme="minorHAnsi" w:cs="Arial"/>
          <w:b/>
          <w:bCs/>
          <w:sz w:val="24"/>
          <w:szCs w:val="24"/>
        </w:rPr>
        <w:t>School</w:t>
      </w:r>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w:t>
      </w:r>
      <w:smartTag w:uri="urn:schemas-microsoft-com:office:smarttags" w:element="PersonName">
        <w:r w:rsidRPr="00E2435A">
          <w:rPr>
            <w:rFonts w:asciiTheme="minorHAnsi" w:hAnsiTheme="minorHAnsi" w:cs="Arial"/>
            <w:sz w:val="24"/>
            <w:szCs w:val="24"/>
          </w:rPr>
          <w:t>Secretary</w:t>
        </w:r>
      </w:smartTag>
      <w:r w:rsidRPr="00E2435A">
        <w:rPr>
          <w:rFonts w:asciiTheme="minorHAnsi" w:hAnsiTheme="minorHAnsi" w:cs="Arial"/>
          <w:sz w:val="24"/>
          <w:szCs w:val="24"/>
        </w:rPr>
        <w:t xml:space="preserve">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diocesan trust deed.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a practising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the</w:t>
      </w:r>
      <w:r w:rsidR="009D1C32">
        <w:rPr>
          <w:rFonts w:asciiTheme="minorHAnsi" w:hAnsiTheme="minorHAnsi" w:cs="Arial"/>
          <w:sz w:val="24"/>
          <w:szCs w:val="24"/>
        </w:rPr>
        <w:t xml:space="preserve"> local</w:t>
      </w:r>
      <w:r w:rsidRPr="004925FE">
        <w:rPr>
          <w:rFonts w:asciiTheme="minorHAnsi" w:hAnsiTheme="minorHAnsi" w:cs="Arial"/>
          <w:sz w:val="24"/>
          <w:szCs w:val="24"/>
        </w:rPr>
        <w:t xml:space="preserve"> </w:t>
      </w:r>
      <w:r w:rsidR="00172EA1" w:rsidRPr="004925FE">
        <w:rPr>
          <w:rFonts w:asciiTheme="minorHAnsi" w:hAnsiTheme="minorHAnsi" w:cs="Arial"/>
          <w:sz w:val="24"/>
          <w:szCs w:val="24"/>
        </w:rPr>
        <w:t xml:space="preserve">governing body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the current conditions of service for headteachers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Headteachers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he Teaching Standards (2011) which apply to all teachers, including headteachers.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The </w:t>
      </w:r>
      <w:r w:rsidR="009D1C32">
        <w:rPr>
          <w:rFonts w:asciiTheme="minorHAnsi" w:hAnsiTheme="minorHAnsi" w:cs="Arial"/>
          <w:sz w:val="24"/>
          <w:szCs w:val="24"/>
        </w:rPr>
        <w:t xml:space="preserve">local </w:t>
      </w:r>
      <w:r w:rsidRPr="004925FE">
        <w:rPr>
          <w:rFonts w:asciiTheme="minorHAnsi" w:hAnsiTheme="minorHAnsi" w:cs="Arial"/>
          <w:sz w:val="24"/>
          <w:szCs w:val="24"/>
        </w:rPr>
        <w:t>governing body</w:t>
      </w:r>
      <w:r w:rsidR="009D1C32">
        <w:rPr>
          <w:rFonts w:asciiTheme="minorHAnsi" w:hAnsiTheme="minorHAnsi" w:cs="Arial"/>
          <w:sz w:val="24"/>
          <w:szCs w:val="24"/>
        </w:rPr>
        <w:t>, the Trust</w:t>
      </w:r>
      <w:r w:rsidRPr="004925FE">
        <w:rPr>
          <w:rFonts w:asciiTheme="minorHAnsi" w:hAnsiTheme="minorHAnsi" w:cs="Arial"/>
          <w:sz w:val="24"/>
          <w:szCs w:val="24"/>
        </w:rPr>
        <w:t xml:space="preserve"> and the d</w:t>
      </w:r>
      <w:r w:rsidR="00C20A6A" w:rsidRPr="004925FE">
        <w:rPr>
          <w:rFonts w:asciiTheme="minorHAnsi" w:hAnsiTheme="minorHAnsi" w:cs="Arial"/>
          <w:sz w:val="24"/>
          <w:szCs w:val="24"/>
        </w:rPr>
        <w:t xml:space="preserve">iocese acknowledge the importance of the role of the Catholic headteacher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4925F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w:t>
      </w:r>
      <w:r w:rsidR="009D1C32">
        <w:rPr>
          <w:rFonts w:ascii="Calibri" w:hAnsi="Calibri" w:cs="Calibri"/>
          <w:b/>
          <w:bCs/>
          <w:sz w:val="24"/>
          <w:szCs w:val="24"/>
        </w:rPr>
        <w:t xml:space="preserve"> and the Trust are</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r w:rsidRPr="00A12724">
        <w:rPr>
          <w:rFonts w:ascii="Calibri" w:hAnsi="Calibri" w:cs="Calibri"/>
          <w:b/>
          <w:bCs/>
          <w:sz w:val="24"/>
          <w:szCs w:val="24"/>
        </w:rPr>
        <w:t xml:space="preserve">Headteacher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The Core Purpose of the Headteacher</w:t>
      </w:r>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The core purpose of the headteacher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‘preferred future’, expressed in the strategic vision and development of a Catholic school, </w:t>
      </w:r>
      <w:r w:rsidRPr="00E2435A">
        <w:rPr>
          <w:rFonts w:asciiTheme="minorHAnsi" w:hAnsiTheme="minorHAnsi" w:cs="Arial"/>
          <w:sz w:val="24"/>
          <w:szCs w:val="24"/>
        </w:rPr>
        <w:lastRenderedPageBreak/>
        <w:t>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headteacher, working with </w:t>
      </w:r>
      <w:r w:rsidRPr="005C272C">
        <w:rPr>
          <w:rFonts w:asciiTheme="minorHAnsi" w:hAnsiTheme="minorHAnsi" w:cs="Arial"/>
          <w:sz w:val="24"/>
          <w:szCs w:val="24"/>
        </w:rPr>
        <w:t xml:space="preserve">the </w:t>
      </w:r>
      <w:r w:rsidR="009D1C32" w:rsidRPr="005C272C">
        <w:rPr>
          <w:rFonts w:asciiTheme="minorHAnsi" w:hAnsiTheme="minorHAnsi" w:cs="Arial"/>
          <w:sz w:val="24"/>
          <w:szCs w:val="24"/>
        </w:rPr>
        <w:t xml:space="preserve">local </w:t>
      </w:r>
      <w:r w:rsidRPr="005C272C">
        <w:rPr>
          <w:rFonts w:asciiTheme="minorHAnsi" w:hAnsiTheme="minorHAnsi" w:cs="Arial"/>
          <w:sz w:val="24"/>
          <w:szCs w:val="24"/>
        </w:rPr>
        <w:t>governing body</w:t>
      </w:r>
      <w:r w:rsidR="009D1C32" w:rsidRPr="005C272C">
        <w:rPr>
          <w:rFonts w:asciiTheme="minorHAnsi" w:hAnsiTheme="minorHAnsi" w:cs="Arial"/>
          <w:sz w:val="24"/>
          <w:szCs w:val="24"/>
        </w:rPr>
        <w:t>, the Trust</w:t>
      </w:r>
      <w:r w:rsidRPr="005C272C">
        <w:rPr>
          <w:rFonts w:asciiTheme="minorHAnsi" w:hAnsiTheme="minorHAnsi" w:cs="Arial"/>
          <w:sz w:val="24"/>
          <w:szCs w:val="24"/>
        </w:rPr>
        <w:t xml:space="preserve"> and others, is expected to draw on the person, life and teachings of Jesus Christ</w:t>
      </w:r>
      <w:r w:rsidRPr="00E2435A">
        <w:rPr>
          <w:rFonts w:asciiTheme="minorHAnsi" w:hAnsiTheme="minorHAnsi" w:cs="Arial"/>
          <w:sz w:val="24"/>
          <w:szCs w:val="24"/>
        </w:rPr>
        <w:t xml:space="preserve">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headteacher is the leading professional in the school. Accountable to </w:t>
      </w:r>
      <w:r w:rsidRPr="005C272C">
        <w:rPr>
          <w:rFonts w:asciiTheme="minorHAnsi" w:hAnsiTheme="minorHAnsi" w:cs="Arial"/>
          <w:spacing w:val="1"/>
          <w:sz w:val="24"/>
          <w:szCs w:val="24"/>
        </w:rPr>
        <w:t>the</w:t>
      </w:r>
      <w:r w:rsidR="009D1C32" w:rsidRPr="005C272C">
        <w:rPr>
          <w:rFonts w:asciiTheme="minorHAnsi" w:hAnsiTheme="minorHAnsi" w:cs="Arial"/>
          <w:spacing w:val="1"/>
          <w:sz w:val="24"/>
          <w:szCs w:val="24"/>
        </w:rPr>
        <w:t xml:space="preserve"> local</w:t>
      </w:r>
      <w:r w:rsidRPr="005C272C">
        <w:rPr>
          <w:rFonts w:asciiTheme="minorHAnsi" w:hAnsiTheme="minorHAnsi" w:cs="Arial"/>
          <w:spacing w:val="1"/>
          <w:sz w:val="24"/>
          <w:szCs w:val="24"/>
        </w:rPr>
        <w:t xml:space="preserve"> governing body, the headteacher provides vision, leadership and direction for the school and ensures</w:t>
      </w:r>
      <w:r w:rsidRPr="00E2435A">
        <w:rPr>
          <w:rFonts w:asciiTheme="minorHAnsi" w:hAnsiTheme="minorHAnsi" w:cs="Arial"/>
          <w:spacing w:val="1"/>
          <w:sz w:val="24"/>
          <w:szCs w:val="24"/>
        </w:rPr>
        <w:t xml:space="preserve"> that it is managed and organised to meet its aims and targets. The headteacher, working with </w:t>
      </w:r>
      <w:r w:rsidR="009D1C32">
        <w:rPr>
          <w:rFonts w:asciiTheme="minorHAnsi" w:hAnsiTheme="minorHAnsi" w:cs="Arial"/>
          <w:spacing w:val="1"/>
          <w:sz w:val="24"/>
          <w:szCs w:val="24"/>
        </w:rPr>
        <w:t xml:space="preserve">the Trust and </w:t>
      </w:r>
      <w:r w:rsidRPr="00E2435A">
        <w:rPr>
          <w:rFonts w:asciiTheme="minorHAnsi" w:hAnsiTheme="minorHAnsi" w:cs="Arial"/>
          <w:spacing w:val="1"/>
          <w:sz w:val="24"/>
          <w:szCs w:val="24"/>
        </w:rPr>
        <w:t>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The headteacher,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uthority, higher education institutions and employers. Through such partnerships and other activities, headteachers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574299"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Drawing on the support provided by members of the school community, the Headteacher is responsible for creating a productive learning environment which is engaging and fulfilling for all pupils.</w:t>
      </w:r>
      <w:r w:rsidR="00584CA0">
        <w:rPr>
          <w:rFonts w:asciiTheme="minorHAnsi" w:hAnsiTheme="minorHAnsi" w:cs="Arial"/>
          <w:sz w:val="24"/>
          <w:szCs w:val="24"/>
        </w:rPr>
        <w:t xml:space="preserve"> </w:t>
      </w: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Pr="00E2435A"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mission of the Church.  The headteacher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 xml:space="preserve">Critical to the role of headship is working with the </w:t>
            </w:r>
            <w:r w:rsidR="009D1C32">
              <w:rPr>
                <w:rFonts w:asciiTheme="minorHAnsi" w:hAnsiTheme="minorHAnsi" w:cs="Arial"/>
                <w:sz w:val="24"/>
                <w:szCs w:val="24"/>
              </w:rPr>
              <w:t xml:space="preserve">local </w:t>
            </w:r>
            <w:r w:rsidRPr="00E2435A">
              <w:rPr>
                <w:rFonts w:asciiTheme="minorHAnsi" w:hAnsiTheme="minorHAnsi" w:cs="Arial"/>
                <w:sz w:val="24"/>
                <w:szCs w:val="24"/>
              </w:rPr>
              <w:t>governing body</w:t>
            </w:r>
            <w:r w:rsidR="009D1C32">
              <w:rPr>
                <w:rFonts w:asciiTheme="minorHAnsi" w:hAnsiTheme="minorHAnsi" w:cs="Arial"/>
                <w:sz w:val="24"/>
                <w:szCs w:val="24"/>
              </w:rPr>
              <w:t>, the Trust</w:t>
            </w:r>
            <w:r w:rsidRPr="00E2435A">
              <w:rPr>
                <w:rFonts w:asciiTheme="minorHAnsi" w:hAnsiTheme="minorHAnsi" w:cs="Arial"/>
                <w:sz w:val="24"/>
                <w:szCs w:val="24"/>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The headteacher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584CA0"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Cs w:val="24"/>
        </w:rPr>
      </w:pPr>
      <w:r w:rsidRPr="00584CA0">
        <w:rPr>
          <w:rFonts w:asciiTheme="minorHAnsi" w:hAnsiTheme="minorHAnsi" w:cs="Arial"/>
          <w:szCs w:val="24"/>
        </w:rPr>
        <w:t>Communicate compellingly the school's vision and drive the strategic leadership, empowering all pupils and staff to excel.</w:t>
      </w:r>
      <w:r w:rsidR="00584CA0" w:rsidRPr="00584CA0">
        <w:rPr>
          <w:rFonts w:asciiTheme="minorHAnsi" w:hAnsiTheme="minorHAnsi" w:cs="Arial"/>
          <w:szCs w:val="24"/>
        </w:rPr>
        <w:t xml:space="preserve"> </w:t>
      </w: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2435A"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In a Catholic school the headteacher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Estab</w:t>
      </w:r>
      <w:r w:rsidR="00146E9A">
        <w:rPr>
          <w:rFonts w:asciiTheme="minorHAnsi" w:hAnsiTheme="minorHAnsi" w:cs="Arial"/>
          <w:szCs w:val="24"/>
        </w:rPr>
        <w:t>lish an educational culture of ‘open classrooms’</w:t>
      </w:r>
      <w:r w:rsidRPr="009A39E9">
        <w:rPr>
          <w:rFonts w:asciiTheme="minorHAnsi" w:hAnsiTheme="minorHAnsi" w:cs="Arial"/>
          <w:szCs w:val="24"/>
        </w:rPr>
        <w:t xml:space="preserve">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E2435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Welcome strong governance and actively support the </w:t>
      </w:r>
      <w:r w:rsidR="009D1C32">
        <w:rPr>
          <w:rFonts w:asciiTheme="minorHAnsi" w:hAnsiTheme="minorHAnsi" w:cs="Arial"/>
          <w:szCs w:val="24"/>
        </w:rPr>
        <w:t xml:space="preserve">local </w:t>
      </w:r>
      <w:r w:rsidRPr="00E2435A">
        <w:rPr>
          <w:rFonts w:asciiTheme="minorHAnsi" w:hAnsiTheme="minorHAnsi" w:cs="Arial"/>
          <w:szCs w:val="24"/>
        </w:rPr>
        <w:t>governing body to understand its role and deliver its functions effectively – in particular its functions to set school strategy and hold the headteacher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lastRenderedPageBreak/>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Pr>
          <w:rFonts w:asciiTheme="minorHAnsi" w:hAnsiTheme="minorHAnsi"/>
          <w:noProof/>
          <w:lang w:eastAsia="en-US"/>
        </w:rPr>
        <mc:AlternateContent>
          <mc:Choice Requires="wps">
            <w:drawing>
              <wp:anchor distT="0" distB="0" distL="114300" distR="114300" simplePos="0" relativeHeight="251657216" behindDoc="0" locked="0" layoutInCell="1" allowOverlap="1">
                <wp:simplePos x="0" y="0"/>
                <wp:positionH relativeFrom="column">
                  <wp:posOffset>342899</wp:posOffset>
                </wp:positionH>
                <wp:positionV relativeFrom="paragraph">
                  <wp:posOffset>17780</wp:posOffset>
                </wp:positionV>
                <wp:extent cx="5762625" cy="3705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05225"/>
                        </a:xfrm>
                        <a:prstGeom prst="rect">
                          <a:avLst/>
                        </a:prstGeom>
                        <a:solidFill>
                          <a:srgbClr val="FFFFFF"/>
                        </a:solidFill>
                        <a:ln w="9525">
                          <a:solidFill>
                            <a:srgbClr val="000000"/>
                          </a:solidFill>
                          <a:miter lim="800000"/>
                          <a:headEnd/>
                          <a:tailEnd/>
                        </a:ln>
                      </wps:spPr>
                      <wps:txb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RKAIAAFE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mc:Fallback>
        </mc:AlternateConten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Working in a spirit of collaboration to secure Catholic principles of equity and entitlement, the headteacher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Create an outward-facing school which works with other schools, organisations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p w:rsidR="001F1705" w:rsidRPr="00E2435A" w:rsidRDefault="001F1705" w:rsidP="001F1705">
      <w:pPr>
        <w:rPr>
          <w:rFonts w:asciiTheme="minorHAnsi" w:hAnsiTheme="minorHAnsi" w:cs="Arial"/>
          <w:sz w:val="24"/>
          <w:szCs w:val="24"/>
        </w:rPr>
      </w:pPr>
    </w:p>
    <w:p w:rsidR="00C20A6A" w:rsidRPr="00E2435A" w:rsidRDefault="00C20A6A">
      <w:pPr>
        <w:rPr>
          <w:rFonts w:asciiTheme="minorHAnsi" w:hAnsiTheme="minorHAnsi" w:cs="Arial"/>
          <w:sz w:val="24"/>
          <w:szCs w:val="24"/>
        </w:rPr>
      </w:pPr>
    </w:p>
    <w:sectPr w:rsidR="00C20A6A" w:rsidRPr="00E2435A" w:rsidSect="00584CA0">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C1" w:rsidRDefault="00F663C1" w:rsidP="00584CA0">
      <w:r>
        <w:separator/>
      </w:r>
    </w:p>
  </w:endnote>
  <w:endnote w:type="continuationSeparator" w:id="0">
    <w:p w:rsidR="00F663C1" w:rsidRDefault="00F663C1"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C1" w:rsidRDefault="00F663C1" w:rsidP="00584CA0">
      <w:r>
        <w:separator/>
      </w:r>
    </w:p>
  </w:footnote>
  <w:footnote w:type="continuationSeparator" w:id="0">
    <w:p w:rsidR="00F663C1" w:rsidRDefault="00F663C1" w:rsidP="0058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556FB"/>
    <w:rsid w:val="0007634B"/>
    <w:rsid w:val="00092342"/>
    <w:rsid w:val="00094EF2"/>
    <w:rsid w:val="000C3CEB"/>
    <w:rsid w:val="00111B10"/>
    <w:rsid w:val="00146E9A"/>
    <w:rsid w:val="00172EA1"/>
    <w:rsid w:val="00181BFF"/>
    <w:rsid w:val="001B02D8"/>
    <w:rsid w:val="001F0777"/>
    <w:rsid w:val="001F1705"/>
    <w:rsid w:val="002E57A7"/>
    <w:rsid w:val="002F3D4E"/>
    <w:rsid w:val="003053C7"/>
    <w:rsid w:val="00381345"/>
    <w:rsid w:val="0038306B"/>
    <w:rsid w:val="003E0DB1"/>
    <w:rsid w:val="003F714F"/>
    <w:rsid w:val="00425FB9"/>
    <w:rsid w:val="00453D9E"/>
    <w:rsid w:val="004925FE"/>
    <w:rsid w:val="0049541C"/>
    <w:rsid w:val="004A27DF"/>
    <w:rsid w:val="00516F53"/>
    <w:rsid w:val="00574299"/>
    <w:rsid w:val="00584CA0"/>
    <w:rsid w:val="005920BA"/>
    <w:rsid w:val="005C272C"/>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62350"/>
    <w:rsid w:val="009A39E9"/>
    <w:rsid w:val="009C4AF0"/>
    <w:rsid w:val="009D1C32"/>
    <w:rsid w:val="009E323D"/>
    <w:rsid w:val="00A12724"/>
    <w:rsid w:val="00A241FE"/>
    <w:rsid w:val="00A324F6"/>
    <w:rsid w:val="00A6055B"/>
    <w:rsid w:val="00AA619A"/>
    <w:rsid w:val="00AE01C2"/>
    <w:rsid w:val="00B5525A"/>
    <w:rsid w:val="00BB7B62"/>
    <w:rsid w:val="00C04F79"/>
    <w:rsid w:val="00C17BC6"/>
    <w:rsid w:val="00C20A6A"/>
    <w:rsid w:val="00C4609A"/>
    <w:rsid w:val="00CA1897"/>
    <w:rsid w:val="00CD42AF"/>
    <w:rsid w:val="00CD7C52"/>
    <w:rsid w:val="00CE2CD6"/>
    <w:rsid w:val="00D07891"/>
    <w:rsid w:val="00D24E63"/>
    <w:rsid w:val="00D5240D"/>
    <w:rsid w:val="00DA39E7"/>
    <w:rsid w:val="00E2435A"/>
    <w:rsid w:val="00E6339C"/>
    <w:rsid w:val="00E95578"/>
    <w:rsid w:val="00EC584A"/>
    <w:rsid w:val="00EE3436"/>
    <w:rsid w:val="00F33813"/>
    <w:rsid w:val="00F663C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BC05151"/>
  <w15:docId w15:val="{8B77C854-1B9F-47CC-8E2C-D273C27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staff</cp:lastModifiedBy>
  <cp:revision>3</cp:revision>
  <cp:lastPrinted>2017-08-31T09:23:00Z</cp:lastPrinted>
  <dcterms:created xsi:type="dcterms:W3CDTF">2018-06-11T17:28:00Z</dcterms:created>
  <dcterms:modified xsi:type="dcterms:W3CDTF">2018-06-11T17:45:00Z</dcterms:modified>
</cp:coreProperties>
</file>