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09" w:rsidRPr="00514316" w:rsidRDefault="00D53909">
      <w:pPr>
        <w:pStyle w:val="Title"/>
        <w:tabs>
          <w:tab w:val="left" w:pos="9090"/>
        </w:tabs>
        <w:ind w:left="-450"/>
        <w:rPr>
          <w:rFonts w:ascii="Century Gothic" w:hAnsi="Century Gothic"/>
        </w:rPr>
      </w:pPr>
      <w:smartTag w:uri="urn:schemas-microsoft-com:office:smarttags" w:element="place">
        <w:smartTag w:uri="urn:schemas-microsoft-com:office:smarttags" w:element="PlaceName">
          <w:r w:rsidRPr="00514316">
            <w:rPr>
              <w:rFonts w:ascii="Century Gothic" w:hAnsi="Century Gothic"/>
            </w:rPr>
            <w:t>BROADWATER</w:t>
          </w:r>
        </w:smartTag>
        <w:r w:rsidRPr="00514316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Pr="00514316">
            <w:rPr>
              <w:rFonts w:ascii="Century Gothic" w:hAnsi="Century Gothic"/>
            </w:rPr>
            <w:t>SCHOOL</w:t>
          </w:r>
        </w:smartTag>
      </w:smartTag>
    </w:p>
    <w:p w:rsidR="00D53909" w:rsidRPr="00514316" w:rsidRDefault="00D53909">
      <w:pPr>
        <w:pStyle w:val="Title"/>
        <w:tabs>
          <w:tab w:val="left" w:pos="9090"/>
        </w:tabs>
        <w:ind w:left="-450"/>
        <w:rPr>
          <w:rFonts w:ascii="Century Gothic" w:hAnsi="Century Gothic"/>
          <w:sz w:val="32"/>
        </w:rPr>
      </w:pPr>
      <w:r w:rsidRPr="00514316">
        <w:rPr>
          <w:rFonts w:ascii="Century Gothic" w:hAnsi="Century Gothic"/>
          <w:sz w:val="32"/>
        </w:rPr>
        <w:t>Job Profile</w:t>
      </w:r>
    </w:p>
    <w:p w:rsidR="00475EF2" w:rsidRPr="00514316" w:rsidRDefault="00475EF2" w:rsidP="00475EF2">
      <w:pPr>
        <w:jc w:val="center"/>
        <w:rPr>
          <w:rFonts w:ascii="Century Gothic" w:hAnsi="Century Gothic"/>
          <w:b/>
          <w:sz w:val="22"/>
          <w:szCs w:val="22"/>
        </w:rPr>
      </w:pPr>
      <w:r w:rsidRPr="00514316">
        <w:rPr>
          <w:rFonts w:ascii="Century Gothic" w:hAnsi="Century Gothic"/>
          <w:b/>
          <w:sz w:val="22"/>
          <w:szCs w:val="22"/>
        </w:rPr>
        <w:t>Broadwater is committed to safeguarding and promoting the welfare of its students and expects all staff to share this commitment.  The School is an equal opportunities employer</w:t>
      </w:r>
    </w:p>
    <w:p w:rsidR="00D53909" w:rsidRPr="00514316" w:rsidRDefault="00D53909">
      <w:pPr>
        <w:rPr>
          <w:rFonts w:ascii="Century Gothic" w:hAnsi="Century Gothic"/>
        </w:rPr>
      </w:pPr>
    </w:p>
    <w:p w:rsidR="00D53909" w:rsidRPr="00514316" w:rsidRDefault="00D53909" w:rsidP="00C4426E">
      <w:pPr>
        <w:rPr>
          <w:rFonts w:ascii="Century Gothic" w:hAnsi="Century Gothic"/>
        </w:rPr>
      </w:pPr>
      <w:r w:rsidRPr="00514316">
        <w:rPr>
          <w:rFonts w:ascii="Century Gothic" w:hAnsi="Century Gothic"/>
        </w:rPr>
        <w:t>This profile recognises the demands of the current Pay and Conditions regulations and reflects the policies within the Governors’ Pay Policy.</w:t>
      </w:r>
    </w:p>
    <w:p w:rsidR="00D53909" w:rsidRPr="00514316" w:rsidRDefault="00D53909">
      <w:pPr>
        <w:spacing w:line="240" w:lineRule="exact"/>
        <w:rPr>
          <w:rFonts w:ascii="Century Gothic" w:hAnsi="Century Gothic"/>
        </w:rPr>
      </w:pPr>
    </w:p>
    <w:p w:rsidR="00D53909" w:rsidRPr="00514316" w:rsidRDefault="00D53909">
      <w:pPr>
        <w:spacing w:line="240" w:lineRule="exact"/>
        <w:rPr>
          <w:rFonts w:ascii="Century Gothic" w:hAnsi="Century Gothic"/>
          <w:b/>
          <w:sz w:val="28"/>
          <w:szCs w:val="28"/>
        </w:rPr>
      </w:pPr>
      <w:r w:rsidRPr="00514316">
        <w:rPr>
          <w:rFonts w:ascii="Century Gothic" w:hAnsi="Century Gothic"/>
          <w:b/>
        </w:rPr>
        <w:t>JOB TITLE:</w:t>
      </w:r>
      <w:r w:rsidRPr="00514316">
        <w:rPr>
          <w:rFonts w:ascii="Century Gothic" w:hAnsi="Century Gothic"/>
          <w:b/>
        </w:rPr>
        <w:tab/>
      </w:r>
      <w:r w:rsidR="00C4426E" w:rsidRPr="00514316">
        <w:rPr>
          <w:rFonts w:ascii="Century Gothic" w:hAnsi="Century Gothic"/>
        </w:rPr>
        <w:tab/>
      </w:r>
      <w:r w:rsidR="00C4426E" w:rsidRPr="00514316">
        <w:rPr>
          <w:rFonts w:ascii="Century Gothic" w:hAnsi="Century Gothic"/>
        </w:rPr>
        <w:tab/>
      </w:r>
      <w:r w:rsidR="00E47D89" w:rsidRPr="00514316">
        <w:rPr>
          <w:rFonts w:ascii="Century Gothic" w:hAnsi="Century Gothic"/>
          <w:b/>
          <w:sz w:val="28"/>
          <w:szCs w:val="28"/>
        </w:rPr>
        <w:t>Head of Science</w:t>
      </w:r>
    </w:p>
    <w:p w:rsidR="00D53909" w:rsidRPr="00514316" w:rsidRDefault="00D53909">
      <w:pPr>
        <w:spacing w:line="240" w:lineRule="exact"/>
        <w:rPr>
          <w:rFonts w:ascii="Century Gothic" w:hAnsi="Century Gothic"/>
        </w:rPr>
      </w:pPr>
    </w:p>
    <w:p w:rsidR="00D53909" w:rsidRPr="00514316" w:rsidRDefault="00D53909">
      <w:pPr>
        <w:spacing w:line="240" w:lineRule="exact"/>
        <w:ind w:left="2880" w:hanging="2880"/>
        <w:rPr>
          <w:rFonts w:ascii="Century Gothic" w:hAnsi="Century Gothic"/>
        </w:rPr>
      </w:pPr>
      <w:r w:rsidRPr="00514316">
        <w:rPr>
          <w:rFonts w:ascii="Century Gothic" w:hAnsi="Century Gothic"/>
          <w:b/>
        </w:rPr>
        <w:t>JOB PURPOSE:</w:t>
      </w:r>
      <w:r w:rsidRPr="00514316">
        <w:rPr>
          <w:rFonts w:ascii="Century Gothic" w:hAnsi="Century Gothic"/>
        </w:rPr>
        <w:tab/>
        <w:t>To ensure that the negotiated aims and objectives of the school (which are reflected in those of the department) are achieved, by enabling the staff to deliver the curriculum effectively.</w:t>
      </w:r>
    </w:p>
    <w:p w:rsidR="00D53909" w:rsidRPr="00514316" w:rsidRDefault="00D53909">
      <w:pPr>
        <w:spacing w:line="240" w:lineRule="exact"/>
        <w:rPr>
          <w:rFonts w:ascii="Century Gothic" w:hAnsi="Century Gothic"/>
        </w:rPr>
      </w:pPr>
    </w:p>
    <w:p w:rsidR="00D53909" w:rsidRPr="00514316" w:rsidRDefault="00D53909" w:rsidP="00B110CA">
      <w:pPr>
        <w:spacing w:line="240" w:lineRule="exact"/>
        <w:ind w:left="5954" w:hanging="5954"/>
        <w:rPr>
          <w:rFonts w:ascii="Century Gothic" w:hAnsi="Century Gothic"/>
        </w:rPr>
      </w:pPr>
      <w:r w:rsidRPr="00514316">
        <w:rPr>
          <w:rFonts w:ascii="Century Gothic" w:hAnsi="Century Gothic"/>
          <w:b/>
        </w:rPr>
        <w:t>ACCOUNTABLE TO:</w:t>
      </w:r>
      <w:r w:rsidR="00B110CA" w:rsidRPr="00514316">
        <w:rPr>
          <w:rFonts w:ascii="Century Gothic" w:hAnsi="Century Gothic"/>
        </w:rPr>
        <w:t xml:space="preserve">  Line Manager            </w:t>
      </w:r>
      <w:r w:rsidRPr="00514316">
        <w:rPr>
          <w:rFonts w:ascii="Century Gothic" w:hAnsi="Century Gothic"/>
          <w:b/>
        </w:rPr>
        <w:t>ACCOUNTABLE FOR:</w:t>
      </w:r>
      <w:r w:rsidR="00E47D89" w:rsidRPr="00514316">
        <w:rPr>
          <w:rFonts w:ascii="Century Gothic" w:hAnsi="Century Gothic"/>
        </w:rPr>
        <w:t xml:space="preserve">  The staff within the Science Department</w:t>
      </w:r>
    </w:p>
    <w:p w:rsidR="00D53909" w:rsidRPr="00514316" w:rsidRDefault="00D53909">
      <w:pPr>
        <w:spacing w:line="240" w:lineRule="exact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D53909" w:rsidRPr="0051431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53909" w:rsidRPr="00514316" w:rsidRDefault="00D5390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514316">
              <w:rPr>
                <w:rFonts w:ascii="Century Gothic" w:hAnsi="Century Gothic"/>
                <w:b/>
                <w:i/>
              </w:rPr>
              <w:t>Key Accountabilities of Curriculum Leaders</w:t>
            </w:r>
          </w:p>
        </w:tc>
        <w:tc>
          <w:tcPr>
            <w:tcW w:w="5178" w:type="dxa"/>
          </w:tcPr>
          <w:p w:rsidR="00D53909" w:rsidRPr="00514316" w:rsidRDefault="00D5390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514316">
              <w:rPr>
                <w:rFonts w:ascii="Century Gothic" w:hAnsi="Century Gothic"/>
                <w:b/>
                <w:i/>
              </w:rPr>
              <w:t>Key Tasks</w:t>
            </w:r>
          </w:p>
        </w:tc>
      </w:tr>
      <w:tr w:rsidR="00D53909" w:rsidRPr="0051431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606" w:type="dxa"/>
            <w:gridSpan w:val="2"/>
          </w:tcPr>
          <w:p w:rsidR="00D53909" w:rsidRPr="00514316" w:rsidRDefault="00D53909">
            <w:pPr>
              <w:rPr>
                <w:rFonts w:ascii="Century Gothic" w:hAnsi="Century Gothic"/>
              </w:rPr>
            </w:pPr>
          </w:p>
        </w:tc>
      </w:tr>
      <w:tr w:rsidR="00D53909" w:rsidRPr="0051431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C61F7" w:rsidRPr="00514316" w:rsidRDefault="00D53909">
            <w:p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  <w:b/>
              </w:rPr>
              <w:t xml:space="preserve">1.  The Management of Policy.  </w:t>
            </w:r>
            <w:r w:rsidRPr="00514316">
              <w:rPr>
                <w:rFonts w:ascii="Century Gothic" w:hAnsi="Century Gothic"/>
              </w:rPr>
              <w:t>Accountable for the review, development and presentation of school and government aims, policies and objectives.  To develop supportive relationships within the school and the community.</w:t>
            </w:r>
          </w:p>
        </w:tc>
        <w:tc>
          <w:tcPr>
            <w:tcW w:w="5178" w:type="dxa"/>
          </w:tcPr>
          <w:p w:rsidR="00D53909" w:rsidRPr="00514316" w:rsidRDefault="00D53909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generate, disseminate, discuss, implement and evaluate  policies across the department</w:t>
            </w:r>
          </w:p>
          <w:p w:rsidR="00D53909" w:rsidRPr="00514316" w:rsidRDefault="00D53909">
            <w:pPr>
              <w:rPr>
                <w:rFonts w:ascii="Century Gothic" w:hAnsi="Century Gothic"/>
              </w:rPr>
            </w:pPr>
          </w:p>
          <w:p w:rsidR="00D53909" w:rsidRPr="00514316" w:rsidRDefault="00D53909">
            <w:pPr>
              <w:rPr>
                <w:rFonts w:ascii="Century Gothic" w:hAnsi="Century Gothic"/>
                <w:i/>
              </w:rPr>
            </w:pPr>
          </w:p>
        </w:tc>
      </w:tr>
      <w:tr w:rsidR="00D53909" w:rsidRPr="0051431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53909" w:rsidRPr="00514316" w:rsidRDefault="00D53909">
            <w:pPr>
              <w:rPr>
                <w:rFonts w:ascii="Century Gothic" w:hAnsi="Century Gothic"/>
                <w:b/>
              </w:rPr>
            </w:pPr>
            <w:r w:rsidRPr="00514316">
              <w:rPr>
                <w:rFonts w:ascii="Century Gothic" w:hAnsi="Century Gothic"/>
                <w:b/>
              </w:rPr>
              <w:t xml:space="preserve">2.  The Management of Learning.  </w:t>
            </w:r>
            <w:r w:rsidRPr="00514316">
              <w:rPr>
                <w:rFonts w:ascii="Century Gothic" w:hAnsi="Century Gothic"/>
              </w:rPr>
              <w:t>Accountable</w:t>
            </w:r>
            <w:r w:rsidRPr="00514316">
              <w:rPr>
                <w:rFonts w:ascii="Century Gothic" w:hAnsi="Century Gothic"/>
                <w:b/>
              </w:rPr>
              <w:t xml:space="preserve"> </w:t>
            </w:r>
            <w:r w:rsidRPr="00514316">
              <w:rPr>
                <w:rFonts w:ascii="Century Gothic" w:hAnsi="Century Gothic"/>
              </w:rPr>
              <w:t>for the quality of experiences offered to all students in the department.</w:t>
            </w:r>
          </w:p>
        </w:tc>
        <w:tc>
          <w:tcPr>
            <w:tcW w:w="5178" w:type="dxa"/>
          </w:tcPr>
          <w:p w:rsidR="00D53909" w:rsidRPr="00514316" w:rsidRDefault="00D53909" w:rsidP="00045854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audit, plan, implement and evaluate the curriculum provision provided by the department and individual teachers</w:t>
            </w:r>
            <w:r w:rsidR="00045854" w:rsidRPr="00514316">
              <w:rPr>
                <w:rFonts w:ascii="Century Gothic" w:hAnsi="Century Gothic"/>
              </w:rPr>
              <w:t>.</w:t>
            </w:r>
          </w:p>
          <w:p w:rsidR="00045854" w:rsidRPr="00514316" w:rsidRDefault="00045854" w:rsidP="00045854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Use school policy and national Curriculum requirements to set clear targets for improvement of students’ achievement and monitor students’ progress towards those targets.</w:t>
            </w:r>
          </w:p>
          <w:p w:rsidR="00045854" w:rsidRPr="00514316" w:rsidRDefault="00045854" w:rsidP="00045854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Use appropriate teaching and learning strategies to communicate clear learning objectives and expectations in relation to literacy, numeracy and other school targets.</w:t>
            </w:r>
          </w:p>
          <w:p w:rsidR="00045854" w:rsidRPr="00514316" w:rsidRDefault="00045854" w:rsidP="00045854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Recognise the level that a student is achieving and make accurate assessments independently, against attainment targets, where applicable and performance levels associated with other tests or qualifications relevant to the subject taught.</w:t>
            </w:r>
          </w:p>
          <w:p w:rsidR="00045854" w:rsidRPr="00514316" w:rsidRDefault="00045854" w:rsidP="00045854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 xml:space="preserve">Plan effectively to ensure that students have the opportunity to meet their potential notwithstanding differences of race and gender and taking account of the needs of </w:t>
            </w:r>
            <w:r w:rsidR="00040A39" w:rsidRPr="00514316">
              <w:rPr>
                <w:rFonts w:ascii="Century Gothic" w:hAnsi="Century Gothic"/>
              </w:rPr>
              <w:t>students who are underachieving</w:t>
            </w:r>
            <w:r w:rsidRPr="00514316">
              <w:rPr>
                <w:rFonts w:ascii="Century Gothic" w:hAnsi="Century Gothic"/>
              </w:rPr>
              <w:t>, very able</w:t>
            </w:r>
            <w:r w:rsidR="00040A39" w:rsidRPr="00514316">
              <w:rPr>
                <w:rFonts w:ascii="Century Gothic" w:hAnsi="Century Gothic"/>
              </w:rPr>
              <w:t>, not yet fluent in English</w:t>
            </w:r>
            <w:r w:rsidRPr="00514316">
              <w:rPr>
                <w:rFonts w:ascii="Century Gothic" w:hAnsi="Century Gothic"/>
              </w:rPr>
              <w:t>; making use of relevant information and specialist help where available.</w:t>
            </w:r>
          </w:p>
          <w:p w:rsidR="00045854" w:rsidRPr="00514316" w:rsidRDefault="00045854" w:rsidP="00045854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 xml:space="preserve">Plan effectively, where applicable, to meet the needs of students with Special Educational Needs in collaboration with the SENCO. </w:t>
            </w:r>
          </w:p>
          <w:p w:rsidR="007F20DA" w:rsidRPr="00514316" w:rsidRDefault="007F20DA" w:rsidP="00045854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 xml:space="preserve">Use data effectively to identify students who are underachieving in the subject and where </w:t>
            </w:r>
            <w:r w:rsidRPr="00514316">
              <w:rPr>
                <w:rFonts w:ascii="Century Gothic" w:hAnsi="Century Gothic"/>
              </w:rPr>
              <w:lastRenderedPageBreak/>
              <w:t>necessary implement effective plans of actions to support those students.</w:t>
            </w:r>
          </w:p>
          <w:p w:rsidR="00D53909" w:rsidRPr="00514316" w:rsidRDefault="007F20DA" w:rsidP="00045854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Analyse and interpret relevant national, local and school data, plus research and inspection evidence, to inform policies, practices, expectations, targets and teaching methods.</w:t>
            </w:r>
          </w:p>
          <w:p w:rsidR="006B0444" w:rsidRPr="00514316" w:rsidRDefault="006B0444" w:rsidP="00045854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monitor the progress made in achieving subject plans and targets, evaluate the effects on teaching and learning and use this analysis to guide further improvement.</w:t>
            </w:r>
          </w:p>
          <w:p w:rsidR="00484F85" w:rsidRPr="00514316" w:rsidRDefault="00D53909" w:rsidP="00484F85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review student work in the department</w:t>
            </w:r>
            <w:r w:rsidR="00484F85" w:rsidRPr="00514316">
              <w:rPr>
                <w:rFonts w:ascii="Century Gothic" w:hAnsi="Century Gothic"/>
              </w:rPr>
              <w:t xml:space="preserve"> </w:t>
            </w:r>
          </w:p>
          <w:p w:rsidR="00484F85" w:rsidRPr="00514316" w:rsidRDefault="00484F85" w:rsidP="00484F85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observe classroom practice.</w:t>
            </w:r>
          </w:p>
          <w:p w:rsidR="00D53909" w:rsidRPr="00514316" w:rsidRDefault="00D53909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be responsible for the analysis of assessment and examination results and take appropriate action</w:t>
            </w:r>
            <w:r w:rsidR="00040A39" w:rsidRPr="00514316">
              <w:rPr>
                <w:rFonts w:ascii="Century Gothic" w:hAnsi="Century Gothic"/>
              </w:rPr>
              <w:t>.</w:t>
            </w:r>
          </w:p>
          <w:p w:rsidR="00DC61F7" w:rsidRPr="00514316" w:rsidRDefault="00DC61F7" w:rsidP="00484F85">
            <w:pPr>
              <w:rPr>
                <w:rFonts w:ascii="Century Gothic" w:hAnsi="Century Gothic"/>
              </w:rPr>
            </w:pPr>
          </w:p>
        </w:tc>
      </w:tr>
      <w:tr w:rsidR="00D53909" w:rsidRPr="0051431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53909" w:rsidRPr="00514316" w:rsidRDefault="00D53909">
            <w:pPr>
              <w:rPr>
                <w:rFonts w:ascii="Century Gothic" w:hAnsi="Century Gothic"/>
                <w:b/>
              </w:rPr>
            </w:pPr>
            <w:r w:rsidRPr="00514316">
              <w:rPr>
                <w:rFonts w:ascii="Century Gothic" w:hAnsi="Century Gothic"/>
                <w:b/>
              </w:rPr>
              <w:lastRenderedPageBreak/>
              <w:t xml:space="preserve">3.  The Management of People.  </w:t>
            </w:r>
            <w:r w:rsidRPr="00514316">
              <w:rPr>
                <w:rFonts w:ascii="Century Gothic" w:hAnsi="Century Gothic"/>
              </w:rPr>
              <w:t>Accountable for the effective development of the departmental team</w:t>
            </w:r>
          </w:p>
        </w:tc>
        <w:tc>
          <w:tcPr>
            <w:tcW w:w="5178" w:type="dxa"/>
          </w:tcPr>
          <w:p w:rsidR="00D53909" w:rsidRPr="00514316" w:rsidRDefault="00D53909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contribute to the appointments of staff and to deploy staff and encourage professional development through support and challenge.</w:t>
            </w:r>
          </w:p>
          <w:p w:rsidR="00D53909" w:rsidRPr="00514316" w:rsidRDefault="007F20DA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Create a climate that enables other staff to develop and maintain positive attitudes towards the subject and confidence in teaching it.</w:t>
            </w:r>
          </w:p>
          <w:p w:rsidR="00D53909" w:rsidRPr="00514316" w:rsidRDefault="00D53909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create, maintain and enhance effective relationships and provide support where necessary</w:t>
            </w:r>
          </w:p>
          <w:p w:rsidR="00D53909" w:rsidRPr="00514316" w:rsidRDefault="00D53909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 xml:space="preserve">To appraise staff </w:t>
            </w:r>
            <w:r w:rsidR="006B0444" w:rsidRPr="00514316">
              <w:rPr>
                <w:rFonts w:ascii="Century Gothic" w:hAnsi="Century Gothic"/>
              </w:rPr>
              <w:t>in the department for performance management and use the process to support the development of personal and professional effectiveness.</w:t>
            </w:r>
          </w:p>
          <w:p w:rsidR="006B0444" w:rsidRPr="00514316" w:rsidRDefault="006B0444" w:rsidP="00EC4815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Audit training needs of subject staff.</w:t>
            </w:r>
          </w:p>
          <w:p w:rsidR="00D0191D" w:rsidRPr="00514316" w:rsidRDefault="00D0191D" w:rsidP="00EC4815">
            <w:pPr>
              <w:rPr>
                <w:rFonts w:ascii="Century Gothic" w:hAnsi="Century Gothic"/>
              </w:rPr>
            </w:pPr>
          </w:p>
        </w:tc>
      </w:tr>
      <w:tr w:rsidR="00D53909" w:rsidRPr="00514316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D53909" w:rsidRPr="00514316" w:rsidRDefault="00D53909">
            <w:pPr>
              <w:rPr>
                <w:rFonts w:ascii="Century Gothic" w:hAnsi="Century Gothic"/>
                <w:b/>
              </w:rPr>
            </w:pPr>
            <w:r w:rsidRPr="00514316">
              <w:rPr>
                <w:rFonts w:ascii="Century Gothic" w:hAnsi="Century Gothic"/>
                <w:b/>
              </w:rPr>
              <w:t xml:space="preserve">4.  The Management of Resources.  </w:t>
            </w:r>
            <w:proofErr w:type="gramStart"/>
            <w:r w:rsidRPr="00514316">
              <w:rPr>
                <w:rFonts w:ascii="Century Gothic" w:hAnsi="Century Gothic"/>
              </w:rPr>
              <w:t>Accountable  for</w:t>
            </w:r>
            <w:proofErr w:type="gramEnd"/>
            <w:r w:rsidRPr="00514316">
              <w:rPr>
                <w:rFonts w:ascii="Century Gothic" w:hAnsi="Century Gothic"/>
              </w:rPr>
              <w:t xml:space="preserve"> the effective identification, allocation and monitoring of resources within the department.</w:t>
            </w:r>
          </w:p>
        </w:tc>
        <w:tc>
          <w:tcPr>
            <w:tcW w:w="5178" w:type="dxa"/>
          </w:tcPr>
          <w:p w:rsidR="00D53909" w:rsidRPr="00514316" w:rsidRDefault="00D53909">
            <w:pPr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monitor the allocation, maintenance and effective use of resources</w:t>
            </w:r>
          </w:p>
          <w:p w:rsidR="00D53909" w:rsidRPr="00514316" w:rsidRDefault="00D53909">
            <w:pPr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 xml:space="preserve">To ensure resources are used to create and maintain an effective </w:t>
            </w:r>
            <w:r w:rsidR="00EC4815" w:rsidRPr="00514316">
              <w:rPr>
                <w:rFonts w:ascii="Century Gothic" w:hAnsi="Century Gothic"/>
              </w:rPr>
              <w:t xml:space="preserve">and stimulating </w:t>
            </w:r>
            <w:r w:rsidRPr="00514316">
              <w:rPr>
                <w:rFonts w:ascii="Century Gothic" w:hAnsi="Century Gothic"/>
              </w:rPr>
              <w:t>learning environment</w:t>
            </w:r>
          </w:p>
          <w:p w:rsidR="00D53909" w:rsidRPr="00514316" w:rsidRDefault="00D53909">
            <w:pPr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14316">
              <w:rPr>
                <w:rFonts w:ascii="Century Gothic" w:hAnsi="Century Gothic"/>
              </w:rPr>
              <w:t>To operate efficiently within budget</w:t>
            </w:r>
          </w:p>
        </w:tc>
      </w:tr>
    </w:tbl>
    <w:p w:rsidR="00D53909" w:rsidRPr="00514316" w:rsidRDefault="00D53909">
      <w:pPr>
        <w:pStyle w:val="Heading1"/>
        <w:rPr>
          <w:rFonts w:ascii="Century Gothic" w:hAnsi="Century Gothic"/>
          <w:b/>
          <w:sz w:val="20"/>
        </w:rPr>
      </w:pPr>
    </w:p>
    <w:p w:rsidR="00FB021D" w:rsidRPr="00514316" w:rsidRDefault="00FB021D" w:rsidP="00FB021D">
      <w:pPr>
        <w:pStyle w:val="Heading2"/>
        <w:tabs>
          <w:tab w:val="left" w:pos="0"/>
        </w:tabs>
        <w:ind w:left="2160" w:hanging="2160"/>
        <w:rPr>
          <w:rFonts w:ascii="Century Gothic" w:hAnsi="Century Gothic"/>
          <w:b w:val="0"/>
          <w:sz w:val="20"/>
        </w:rPr>
      </w:pPr>
      <w:r w:rsidRPr="00514316">
        <w:rPr>
          <w:rFonts w:ascii="Century Gothic" w:hAnsi="Century Gothic"/>
          <w:sz w:val="20"/>
        </w:rPr>
        <w:t>Health and Safety:</w:t>
      </w:r>
      <w:r w:rsidRPr="00514316">
        <w:rPr>
          <w:rFonts w:ascii="Century Gothic" w:hAnsi="Century Gothic"/>
          <w:b w:val="0"/>
          <w:sz w:val="20"/>
        </w:rPr>
        <w:tab/>
      </w:r>
      <w:r w:rsidR="00DB1539" w:rsidRPr="00514316">
        <w:rPr>
          <w:rFonts w:ascii="Century Gothic" w:hAnsi="Century Gothic"/>
          <w:b w:val="0"/>
          <w:sz w:val="20"/>
        </w:rPr>
        <w:t xml:space="preserve">Ensuring that the faculty is fully compliant with all health and safety procedures and that all staff are trained in accordance with meeting </w:t>
      </w:r>
      <w:r w:rsidR="00E47D89" w:rsidRPr="00514316">
        <w:rPr>
          <w:rFonts w:ascii="Century Gothic" w:hAnsi="Century Gothic"/>
          <w:b w:val="0"/>
          <w:sz w:val="20"/>
        </w:rPr>
        <w:t xml:space="preserve">all health and safety </w:t>
      </w:r>
      <w:r w:rsidR="00DB1539" w:rsidRPr="00514316">
        <w:rPr>
          <w:rFonts w:ascii="Century Gothic" w:hAnsi="Century Gothic"/>
          <w:b w:val="0"/>
          <w:sz w:val="20"/>
        </w:rPr>
        <w:t>requirements.</w:t>
      </w:r>
    </w:p>
    <w:p w:rsidR="00FB021D" w:rsidRPr="00514316" w:rsidRDefault="00FB021D" w:rsidP="00FB021D">
      <w:pPr>
        <w:ind w:left="2160" w:hanging="2160"/>
        <w:rPr>
          <w:rFonts w:ascii="Century Gothic" w:hAnsi="Century Gothic"/>
          <w:b/>
        </w:rPr>
      </w:pPr>
    </w:p>
    <w:p w:rsidR="00D53909" w:rsidRPr="00514316" w:rsidRDefault="00FB021D" w:rsidP="00FB021D">
      <w:pPr>
        <w:ind w:left="2160" w:hanging="2160"/>
        <w:rPr>
          <w:rFonts w:ascii="Century Gothic" w:hAnsi="Century Gothic"/>
        </w:rPr>
      </w:pPr>
      <w:r w:rsidRPr="00514316">
        <w:rPr>
          <w:rFonts w:ascii="Century Gothic" w:hAnsi="Century Gothic"/>
          <w:b/>
        </w:rPr>
        <w:t>General Conditions:</w:t>
      </w:r>
      <w:r w:rsidRPr="00514316">
        <w:rPr>
          <w:rFonts w:ascii="Century Gothic" w:hAnsi="Century Gothic"/>
        </w:rPr>
        <w:tab/>
        <w:t>This job profile includes the principal responsibilities of the post.  However, the post will evolve.  The post</w:t>
      </w:r>
      <w:r w:rsidR="00B110CA" w:rsidRPr="00514316">
        <w:rPr>
          <w:rFonts w:ascii="Century Gothic" w:hAnsi="Century Gothic"/>
        </w:rPr>
        <w:t xml:space="preserve"> </w:t>
      </w:r>
      <w:r w:rsidRPr="00514316">
        <w:rPr>
          <w:rFonts w:ascii="Century Gothic" w:hAnsi="Century Gothic"/>
        </w:rPr>
        <w:t xml:space="preserve">holder will be required to adopt a flexible approach in order to meet </w:t>
      </w:r>
      <w:bookmarkStart w:id="0" w:name="_GoBack"/>
      <w:bookmarkEnd w:id="0"/>
      <w:r w:rsidRPr="00514316">
        <w:rPr>
          <w:rFonts w:ascii="Century Gothic" w:hAnsi="Century Gothic"/>
        </w:rPr>
        <w:t>the changing needs of Broadwater School.</w:t>
      </w:r>
    </w:p>
    <w:sectPr w:rsidR="00D53909" w:rsidRPr="00514316" w:rsidSect="00FB021D">
      <w:footerReference w:type="default" r:id="rId7"/>
      <w:pgSz w:w="12240" w:h="15840"/>
      <w:pgMar w:top="629" w:right="1418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45" w:rsidRDefault="00713F45">
      <w:r>
        <w:separator/>
      </w:r>
    </w:p>
  </w:endnote>
  <w:endnote w:type="continuationSeparator" w:id="0">
    <w:p w:rsidR="00713F45" w:rsidRDefault="0071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CE" w:rsidRPr="00F17101" w:rsidRDefault="00AF4FCE">
    <w:pPr>
      <w:pStyle w:val="Footer"/>
      <w:rPr>
        <w:sz w:val="12"/>
        <w:szCs w:val="12"/>
      </w:rPr>
    </w:pPr>
    <w:r w:rsidRPr="00F17101">
      <w:rPr>
        <w:sz w:val="12"/>
        <w:szCs w:val="12"/>
      </w:rPr>
      <w:fldChar w:fldCharType="begin"/>
    </w:r>
    <w:r w:rsidRPr="00F17101">
      <w:rPr>
        <w:sz w:val="12"/>
        <w:szCs w:val="12"/>
      </w:rPr>
      <w:instrText xml:space="preserve"> FILENAME \p </w:instrText>
    </w:r>
    <w:r w:rsidRPr="00F17101">
      <w:rPr>
        <w:sz w:val="12"/>
        <w:szCs w:val="12"/>
      </w:rPr>
      <w:fldChar w:fldCharType="separate"/>
    </w:r>
    <w:r>
      <w:rPr>
        <w:noProof/>
        <w:sz w:val="12"/>
        <w:szCs w:val="12"/>
      </w:rPr>
      <w:t>H:\Recruitment\Science\JOB PROFILE-Head of Science.doc</w:t>
    </w:r>
    <w:r w:rsidRPr="00F1710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45" w:rsidRDefault="00713F45">
      <w:r>
        <w:separator/>
      </w:r>
    </w:p>
  </w:footnote>
  <w:footnote w:type="continuationSeparator" w:id="0">
    <w:p w:rsidR="00713F45" w:rsidRDefault="0071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E1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B233F"/>
    <w:multiLevelType w:val="multilevel"/>
    <w:tmpl w:val="8EF83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D501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D34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2E69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F6344C"/>
    <w:multiLevelType w:val="hybridMultilevel"/>
    <w:tmpl w:val="8EF832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A21D4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41A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5AD1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C769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DF21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FC1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45702A"/>
    <w:multiLevelType w:val="hybridMultilevel"/>
    <w:tmpl w:val="B1583256"/>
    <w:lvl w:ilvl="0" w:tplc="71AA21D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71AA21D4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1D"/>
    <w:rsid w:val="00040A39"/>
    <w:rsid w:val="00045854"/>
    <w:rsid w:val="003567AC"/>
    <w:rsid w:val="00383B42"/>
    <w:rsid w:val="003D1EB6"/>
    <w:rsid w:val="00475EF2"/>
    <w:rsid w:val="00484F85"/>
    <w:rsid w:val="00514316"/>
    <w:rsid w:val="006765C7"/>
    <w:rsid w:val="006B0444"/>
    <w:rsid w:val="006E2D6E"/>
    <w:rsid w:val="00713F45"/>
    <w:rsid w:val="007A6310"/>
    <w:rsid w:val="007F20DA"/>
    <w:rsid w:val="0081690B"/>
    <w:rsid w:val="00955ABE"/>
    <w:rsid w:val="00AF4FCE"/>
    <w:rsid w:val="00B110CA"/>
    <w:rsid w:val="00B81029"/>
    <w:rsid w:val="00C107C4"/>
    <w:rsid w:val="00C4426E"/>
    <w:rsid w:val="00C91B5E"/>
    <w:rsid w:val="00D0191D"/>
    <w:rsid w:val="00D53909"/>
    <w:rsid w:val="00D6740A"/>
    <w:rsid w:val="00DB1539"/>
    <w:rsid w:val="00DC61F7"/>
    <w:rsid w:val="00E47D89"/>
    <w:rsid w:val="00EC4815"/>
    <w:rsid w:val="00F17101"/>
    <w:rsid w:val="00F17917"/>
    <w:rsid w:val="00F535A7"/>
    <w:rsid w:val="00F57BB4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8302BA-B0B7-41F5-B7AD-8D28E59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semiHidden/>
    <w:rsid w:val="00DC6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E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1EB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Priory School</vt:lpstr>
    </vt:vector>
  </TitlesOfParts>
  <Company>The Priory School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Priory School</dc:title>
  <dc:subject/>
  <dc:creator>Mr C Lee</dc:creator>
  <cp:keywords/>
  <cp:lastModifiedBy>Sonya Turpin</cp:lastModifiedBy>
  <cp:revision>3</cp:revision>
  <cp:lastPrinted>2013-06-13T14:59:00Z</cp:lastPrinted>
  <dcterms:created xsi:type="dcterms:W3CDTF">2018-02-06T15:16:00Z</dcterms:created>
  <dcterms:modified xsi:type="dcterms:W3CDTF">2018-02-06T15:16:00Z</dcterms:modified>
</cp:coreProperties>
</file>