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69" w:rsidRPr="006E7B69" w:rsidRDefault="006E7B69" w:rsidP="006E7B69">
      <w:pPr>
        <w:spacing w:after="200" w:line="276" w:lineRule="auto"/>
        <w:jc w:val="center"/>
        <w:rPr>
          <w:rFonts w:ascii="Arial" w:eastAsia="Times New Roman" w:hAnsi="Arial" w:cs="Arial"/>
          <w:b/>
          <w:u w:val="single"/>
          <w:lang w:val="en-GB" w:eastAsia="en-GB"/>
        </w:rPr>
      </w:pPr>
      <w:r w:rsidRPr="006E7B69">
        <w:rPr>
          <w:rFonts w:ascii="Arial" w:eastAsia="Times New Roman" w:hAnsi="Arial" w:cs="Arial"/>
          <w:b/>
          <w:noProof/>
          <w:u w:val="single"/>
        </w:rPr>
        <w:drawing>
          <wp:inline distT="0" distB="0" distL="0" distR="0" wp14:anchorId="27F8BC6E" wp14:editId="0C61A121">
            <wp:extent cx="1767840" cy="754354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urpl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11" cy="76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B69" w:rsidRPr="006E7B69" w:rsidRDefault="006E7B69" w:rsidP="006E7B69">
      <w:pPr>
        <w:spacing w:after="200" w:line="276" w:lineRule="auto"/>
        <w:jc w:val="center"/>
        <w:rPr>
          <w:rFonts w:ascii="Arial" w:eastAsia="Times New Roman" w:hAnsi="Arial" w:cs="Arial"/>
          <w:b/>
          <w:u w:val="single"/>
          <w:lang w:val="en-GB" w:eastAsia="en-GB"/>
        </w:rPr>
      </w:pPr>
      <w:r w:rsidRPr="006E7B69">
        <w:rPr>
          <w:rFonts w:ascii="Arial" w:eastAsia="Times New Roman" w:hAnsi="Arial" w:cs="Arial"/>
          <w:b/>
          <w:u w:val="single"/>
          <w:lang w:val="en-GB" w:eastAsia="en-GB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6E7B69" w:rsidRPr="006E7B69" w:rsidTr="003D06BC">
        <w:tc>
          <w:tcPr>
            <w:tcW w:w="4788" w:type="dxa"/>
          </w:tcPr>
          <w:p w:rsidR="006E7B69" w:rsidRPr="006E7B69" w:rsidRDefault="006E7B69" w:rsidP="006E7B69">
            <w:pPr>
              <w:rPr>
                <w:rFonts w:ascii="Arial" w:hAnsi="Arial" w:cs="Arial"/>
                <w:b/>
              </w:rPr>
            </w:pPr>
            <w:r w:rsidRPr="006E7B69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788" w:type="dxa"/>
          </w:tcPr>
          <w:p w:rsidR="006E7B69" w:rsidRPr="006E7B69" w:rsidRDefault="006E7B69" w:rsidP="006E7B69">
            <w:pPr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 xml:space="preserve">Library Manager </w:t>
            </w:r>
          </w:p>
        </w:tc>
      </w:tr>
      <w:tr w:rsidR="006E7B69" w:rsidRPr="006E7B69" w:rsidTr="003D06BC">
        <w:tc>
          <w:tcPr>
            <w:tcW w:w="4788" w:type="dxa"/>
          </w:tcPr>
          <w:p w:rsidR="006E7B69" w:rsidRPr="006E7B69" w:rsidRDefault="006E7B69" w:rsidP="006E7B69">
            <w:pPr>
              <w:rPr>
                <w:rFonts w:ascii="Arial" w:hAnsi="Arial" w:cs="Arial"/>
                <w:b/>
              </w:rPr>
            </w:pPr>
            <w:r w:rsidRPr="006E7B69">
              <w:rPr>
                <w:rFonts w:ascii="Arial" w:hAnsi="Arial" w:cs="Arial"/>
                <w:b/>
              </w:rPr>
              <w:t>Grade (SCP)</w:t>
            </w:r>
          </w:p>
        </w:tc>
        <w:tc>
          <w:tcPr>
            <w:tcW w:w="4788" w:type="dxa"/>
          </w:tcPr>
          <w:p w:rsidR="006E7B69" w:rsidRPr="006E7B69" w:rsidRDefault="006E7B69" w:rsidP="006E7B69">
            <w:pPr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7 (23-25)</w:t>
            </w:r>
          </w:p>
        </w:tc>
      </w:tr>
      <w:tr w:rsidR="006E7B69" w:rsidRPr="006E7B69" w:rsidTr="003D06BC">
        <w:tc>
          <w:tcPr>
            <w:tcW w:w="4788" w:type="dxa"/>
          </w:tcPr>
          <w:p w:rsidR="006E7B69" w:rsidRPr="006E7B69" w:rsidRDefault="006E7B69" w:rsidP="006E7B69">
            <w:pPr>
              <w:rPr>
                <w:rFonts w:ascii="Arial" w:hAnsi="Arial" w:cs="Arial"/>
                <w:b/>
              </w:rPr>
            </w:pPr>
            <w:r w:rsidRPr="006E7B69">
              <w:rPr>
                <w:rFonts w:ascii="Arial" w:hAnsi="Arial" w:cs="Arial"/>
                <w:b/>
              </w:rPr>
              <w:t>Weekly hours</w:t>
            </w:r>
          </w:p>
        </w:tc>
        <w:tc>
          <w:tcPr>
            <w:tcW w:w="4788" w:type="dxa"/>
          </w:tcPr>
          <w:p w:rsidR="006E7B69" w:rsidRPr="006E7B69" w:rsidRDefault="006E7B69" w:rsidP="006E7B69">
            <w:pPr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37 hours</w:t>
            </w:r>
          </w:p>
        </w:tc>
      </w:tr>
      <w:tr w:rsidR="006E7B69" w:rsidRPr="006E7B69" w:rsidTr="003D06BC">
        <w:tc>
          <w:tcPr>
            <w:tcW w:w="4788" w:type="dxa"/>
          </w:tcPr>
          <w:p w:rsidR="006E7B69" w:rsidRPr="006E7B69" w:rsidRDefault="006E7B69" w:rsidP="006E7B69">
            <w:pPr>
              <w:rPr>
                <w:rFonts w:ascii="Arial" w:hAnsi="Arial" w:cs="Arial"/>
                <w:b/>
              </w:rPr>
            </w:pPr>
            <w:r w:rsidRPr="006E7B69">
              <w:rPr>
                <w:rFonts w:ascii="Arial" w:hAnsi="Arial" w:cs="Arial"/>
                <w:b/>
              </w:rPr>
              <w:t>Non-term time arrangements</w:t>
            </w:r>
          </w:p>
        </w:tc>
        <w:tc>
          <w:tcPr>
            <w:tcW w:w="4788" w:type="dxa"/>
          </w:tcPr>
          <w:p w:rsidR="006E7B69" w:rsidRPr="006E7B69" w:rsidRDefault="006E7B69" w:rsidP="006E7B69">
            <w:pPr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Term time + 10 days (incl. 5 training days)</w:t>
            </w:r>
          </w:p>
        </w:tc>
      </w:tr>
    </w:tbl>
    <w:p w:rsidR="006E7B69" w:rsidRPr="006E7B69" w:rsidRDefault="006E7B69" w:rsidP="006E7B69">
      <w:pPr>
        <w:spacing w:after="200" w:line="276" w:lineRule="auto"/>
        <w:rPr>
          <w:rFonts w:ascii="Arial" w:eastAsia="Times New Roman" w:hAnsi="Arial" w:cs="Arial"/>
          <w:b/>
          <w:u w:val="single"/>
          <w:lang w:val="en-GB" w:eastAsia="en-GB"/>
        </w:rPr>
      </w:pPr>
    </w:p>
    <w:p w:rsidR="006E7B69" w:rsidRPr="006E7B69" w:rsidRDefault="006E7B69" w:rsidP="006E7B69">
      <w:pPr>
        <w:spacing w:after="200" w:line="276" w:lineRule="auto"/>
        <w:rPr>
          <w:rFonts w:ascii="Arial" w:eastAsia="Times New Roman" w:hAnsi="Arial" w:cs="Arial"/>
          <w:b/>
          <w:lang w:val="en-GB" w:eastAsia="en-GB"/>
        </w:rPr>
      </w:pPr>
      <w:r w:rsidRPr="006E7B69">
        <w:rPr>
          <w:rFonts w:ascii="Arial" w:eastAsia="Times New Roman" w:hAnsi="Arial" w:cs="Arial"/>
          <w:b/>
          <w:lang w:val="en-GB" w:eastAsia="en-GB"/>
        </w:rPr>
        <w:t>Job Summary</w:t>
      </w:r>
    </w:p>
    <w:p w:rsidR="006E7B69" w:rsidRPr="006E7B69" w:rsidRDefault="006E7B69" w:rsidP="006E7B69">
      <w:pPr>
        <w:spacing w:after="200" w:line="276" w:lineRule="auto"/>
        <w:rPr>
          <w:rFonts w:ascii="Arial" w:eastAsia="Times New Roman" w:hAnsi="Arial" w:cs="Arial"/>
          <w:lang w:val="en-GB" w:eastAsia="en-GB"/>
        </w:rPr>
      </w:pPr>
      <w:r w:rsidRPr="006E7B69">
        <w:rPr>
          <w:rFonts w:ascii="Arial" w:eastAsia="Times New Roman" w:hAnsi="Arial" w:cs="Arial"/>
          <w:lang w:val="en-GB" w:eastAsia="en-GB"/>
        </w:rPr>
        <w:t>Maintain and develop the library as the heart of the school and work with staff and students to embed a love of reading in all.</w:t>
      </w:r>
    </w:p>
    <w:p w:rsidR="006E7B69" w:rsidRPr="006E7B69" w:rsidRDefault="006E7B69" w:rsidP="006E7B69">
      <w:pPr>
        <w:spacing w:after="200" w:line="276" w:lineRule="auto"/>
        <w:rPr>
          <w:rFonts w:ascii="Arial" w:eastAsia="Times New Roman" w:hAnsi="Arial" w:cs="Arial"/>
          <w:b/>
          <w:lang w:val="en-GB" w:eastAsia="en-GB"/>
        </w:rPr>
      </w:pPr>
      <w:r w:rsidRPr="006E7B69">
        <w:rPr>
          <w:rFonts w:ascii="Arial" w:eastAsia="Times New Roman" w:hAnsi="Arial" w:cs="Arial"/>
          <w:b/>
          <w:lang w:val="en-GB" w:eastAsia="en-GB"/>
        </w:rPr>
        <w:t>Key Responsibilities:</w:t>
      </w:r>
    </w:p>
    <w:p w:rsidR="006E7B69" w:rsidRPr="006E7B69" w:rsidRDefault="006E7B69" w:rsidP="006E7B69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lang w:val="en-GB" w:eastAsia="en-GB"/>
        </w:rPr>
      </w:pPr>
      <w:r w:rsidRPr="006E7B69">
        <w:rPr>
          <w:rFonts w:ascii="Arial" w:eastAsia="Times New Roman" w:hAnsi="Arial" w:cs="Arial"/>
          <w:lang w:val="en-GB" w:eastAsia="en-GB"/>
        </w:rPr>
        <w:t>Library service</w:t>
      </w:r>
    </w:p>
    <w:p w:rsidR="006E7B69" w:rsidRPr="006E7B69" w:rsidRDefault="006E7B69" w:rsidP="006E7B69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lang w:val="en-GB" w:eastAsia="en-GB"/>
        </w:rPr>
      </w:pPr>
      <w:r w:rsidRPr="006E7B69">
        <w:rPr>
          <w:rFonts w:ascii="Arial" w:eastAsia="Times New Roman" w:hAnsi="Arial" w:cs="Arial"/>
          <w:lang w:val="en-GB" w:eastAsia="en-GB"/>
        </w:rPr>
        <w:t>Reading schemes</w:t>
      </w:r>
    </w:p>
    <w:p w:rsidR="006E7B69" w:rsidRPr="006E7B69" w:rsidRDefault="006E7B69" w:rsidP="006E7B69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lang w:val="en-GB" w:eastAsia="en-GB"/>
        </w:rPr>
      </w:pPr>
      <w:r w:rsidRPr="006E7B69">
        <w:rPr>
          <w:rFonts w:ascii="Arial" w:eastAsia="Times New Roman" w:hAnsi="Arial" w:cs="Arial"/>
          <w:lang w:val="en-GB" w:eastAsia="en-GB"/>
        </w:rPr>
        <w:t xml:space="preserve">Enrichment </w:t>
      </w:r>
    </w:p>
    <w:p w:rsidR="006E7B69" w:rsidRPr="006E7B69" w:rsidRDefault="006E7B69" w:rsidP="006E7B69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lang w:val="en-GB" w:eastAsia="en-GB"/>
        </w:rPr>
      </w:pPr>
      <w:r w:rsidRPr="006E7B69">
        <w:rPr>
          <w:rFonts w:ascii="Arial" w:eastAsia="Times New Roman" w:hAnsi="Arial" w:cs="Arial"/>
          <w:lang w:val="en-GB" w:eastAsia="en-GB"/>
        </w:rPr>
        <w:t>General</w:t>
      </w:r>
    </w:p>
    <w:p w:rsidR="006E7B69" w:rsidRPr="006E7B69" w:rsidRDefault="006E7B69" w:rsidP="006E7B69">
      <w:pPr>
        <w:spacing w:after="200" w:line="276" w:lineRule="auto"/>
        <w:rPr>
          <w:rFonts w:ascii="Arial" w:eastAsia="Times New Roman" w:hAnsi="Arial" w:cs="Arial"/>
          <w:b/>
          <w:lang w:val="en-GB" w:eastAsia="en-GB"/>
        </w:rPr>
      </w:pPr>
      <w:r w:rsidRPr="006E7B69">
        <w:rPr>
          <w:rFonts w:ascii="Arial" w:eastAsia="Times New Roman" w:hAnsi="Arial" w:cs="Arial"/>
          <w:b/>
          <w:lang w:val="en-GB" w:eastAsia="en-GB"/>
        </w:rPr>
        <w:t>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7305"/>
      </w:tblGrid>
      <w:tr w:rsidR="006E7B69" w:rsidRPr="006E7B69" w:rsidTr="003D06BC">
        <w:tc>
          <w:tcPr>
            <w:tcW w:w="2093" w:type="dxa"/>
          </w:tcPr>
          <w:p w:rsidR="006E7B69" w:rsidRPr="006E7B69" w:rsidRDefault="006E7B69" w:rsidP="006E7B69">
            <w:pPr>
              <w:rPr>
                <w:rFonts w:ascii="Arial" w:hAnsi="Arial" w:cs="Arial"/>
                <w:b/>
              </w:rPr>
            </w:pPr>
            <w:r w:rsidRPr="006E7B69">
              <w:rPr>
                <w:rFonts w:ascii="Arial" w:hAnsi="Arial" w:cs="Arial"/>
                <w:b/>
              </w:rPr>
              <w:t>Key accountabilities</w:t>
            </w:r>
          </w:p>
        </w:tc>
        <w:tc>
          <w:tcPr>
            <w:tcW w:w="8788" w:type="dxa"/>
          </w:tcPr>
          <w:p w:rsidR="006E7B69" w:rsidRPr="006E7B69" w:rsidRDefault="006E7B69" w:rsidP="006E7B69">
            <w:pPr>
              <w:rPr>
                <w:rFonts w:ascii="Arial" w:hAnsi="Arial" w:cs="Arial"/>
                <w:b/>
              </w:rPr>
            </w:pPr>
            <w:r w:rsidRPr="006E7B69">
              <w:rPr>
                <w:rFonts w:ascii="Arial" w:hAnsi="Arial" w:cs="Arial"/>
                <w:b/>
              </w:rPr>
              <w:t>Key tasks</w:t>
            </w:r>
          </w:p>
        </w:tc>
      </w:tr>
      <w:tr w:rsidR="006E7B69" w:rsidRPr="006E7B69" w:rsidTr="003D06BC">
        <w:tc>
          <w:tcPr>
            <w:tcW w:w="2093" w:type="dxa"/>
          </w:tcPr>
          <w:p w:rsidR="006E7B69" w:rsidRPr="006E7B69" w:rsidRDefault="006E7B69" w:rsidP="006E7B69">
            <w:pPr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Library service</w:t>
            </w:r>
          </w:p>
        </w:tc>
        <w:tc>
          <w:tcPr>
            <w:tcW w:w="8788" w:type="dxa"/>
          </w:tcPr>
          <w:p w:rsidR="006E7B69" w:rsidRPr="006E7B69" w:rsidRDefault="006E7B69" w:rsidP="006E7B6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Develop the learning resource centre as a vibrant heart of the school where staff and students feel welcome and are encouraged to participate in a regular and sustained programme of activities</w:t>
            </w:r>
          </w:p>
          <w:p w:rsidR="006E7B69" w:rsidRPr="006E7B69" w:rsidRDefault="006E7B69" w:rsidP="006E7B6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Manage the day to day running of the school library, ensuring that reading stock is regularly refreshed and meets the needs of the school</w:t>
            </w:r>
          </w:p>
          <w:p w:rsidR="006E7B69" w:rsidRPr="006E7B69" w:rsidRDefault="006E7B69" w:rsidP="006E7B6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Ensure the lending database is accurate, up to date and late / non-returns are monitored and well managed</w:t>
            </w:r>
          </w:p>
          <w:p w:rsidR="006E7B69" w:rsidRPr="006E7B69" w:rsidRDefault="006E7B69" w:rsidP="006E7B6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Supervise student helpers, including library volunteers</w:t>
            </w:r>
          </w:p>
          <w:p w:rsidR="006E7B69" w:rsidRPr="006E7B69" w:rsidRDefault="006E7B69" w:rsidP="006E7B6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Ensure that staff are appropriately trained in the use of library systems, reading schemes and other relevant technologies</w:t>
            </w:r>
          </w:p>
          <w:p w:rsidR="006E7B69" w:rsidRPr="006E7B69" w:rsidRDefault="006E7B69" w:rsidP="006E7B6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Manage the school iPad bookings</w:t>
            </w:r>
          </w:p>
          <w:p w:rsidR="006E7B69" w:rsidRPr="006E7B69" w:rsidRDefault="006E7B69" w:rsidP="006E7B6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Attend school meetings as required</w:t>
            </w:r>
          </w:p>
          <w:p w:rsidR="006E7B69" w:rsidRPr="006E7B69" w:rsidRDefault="006E7B69" w:rsidP="006E7B6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Produce regular reports for colleagues, governors and Trust partners on strategies and progress relating to continual improvement of the school’s library service</w:t>
            </w:r>
          </w:p>
          <w:p w:rsidR="006E7B69" w:rsidRPr="006E7B69" w:rsidRDefault="006E7B69" w:rsidP="006E7B6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Manage the library budget and inventory</w:t>
            </w:r>
          </w:p>
          <w:p w:rsidR="006E7B69" w:rsidRPr="006E7B69" w:rsidRDefault="006E7B69" w:rsidP="006E7B6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Maintain accurate job cards</w:t>
            </w:r>
          </w:p>
        </w:tc>
      </w:tr>
      <w:tr w:rsidR="006E7B69" w:rsidRPr="006E7B69" w:rsidTr="003D06BC">
        <w:tc>
          <w:tcPr>
            <w:tcW w:w="2093" w:type="dxa"/>
          </w:tcPr>
          <w:p w:rsidR="006E7B69" w:rsidRPr="006E7B69" w:rsidRDefault="006E7B69" w:rsidP="006E7B69">
            <w:pPr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lastRenderedPageBreak/>
              <w:t>Reading schemes</w:t>
            </w:r>
          </w:p>
        </w:tc>
        <w:tc>
          <w:tcPr>
            <w:tcW w:w="8788" w:type="dxa"/>
          </w:tcPr>
          <w:p w:rsidR="006E7B69" w:rsidRPr="006E7B69" w:rsidRDefault="006E7B69" w:rsidP="006E7B6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Support the Literacy and Communication Coordinator in managing whole school reading schemes and maintain appropriate records to track progress</w:t>
            </w:r>
          </w:p>
          <w:p w:rsidR="006E7B69" w:rsidRPr="006E7B69" w:rsidRDefault="006E7B69" w:rsidP="006E7B6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Carry out the administration of reading schemes which will include Accelerated  Reading</w:t>
            </w:r>
          </w:p>
          <w:p w:rsidR="006E7B69" w:rsidRPr="006E7B69" w:rsidRDefault="006E7B69" w:rsidP="006E7B6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 xml:space="preserve">Actively recruit volunteer readers from both within and outside of the school </w:t>
            </w:r>
          </w:p>
        </w:tc>
      </w:tr>
      <w:tr w:rsidR="006E7B69" w:rsidRPr="006E7B69" w:rsidTr="003D06BC">
        <w:tc>
          <w:tcPr>
            <w:tcW w:w="2093" w:type="dxa"/>
          </w:tcPr>
          <w:p w:rsidR="006E7B69" w:rsidRPr="006E7B69" w:rsidRDefault="006E7B69" w:rsidP="006E7B69">
            <w:pPr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Enrichment</w:t>
            </w:r>
          </w:p>
        </w:tc>
        <w:tc>
          <w:tcPr>
            <w:tcW w:w="8788" w:type="dxa"/>
          </w:tcPr>
          <w:p w:rsidR="006E7B69" w:rsidRPr="006E7B69" w:rsidRDefault="006E7B69" w:rsidP="006E7B6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Introduce and manage a sustained programme of enrichment activities to support the development of reading skills in students, both targeted and whole school</w:t>
            </w:r>
          </w:p>
          <w:p w:rsidR="006E7B69" w:rsidRPr="006E7B69" w:rsidRDefault="006E7B69" w:rsidP="006E7B6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Manage a sustained programme of enrichment activities to help parents better support their children in developing a love of reading</w:t>
            </w:r>
          </w:p>
          <w:p w:rsidR="006E7B69" w:rsidRPr="006E7B69" w:rsidRDefault="006E7B69" w:rsidP="006E7B6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Actively pursue funding opportunities to develop and enrich library services</w:t>
            </w:r>
          </w:p>
        </w:tc>
      </w:tr>
      <w:tr w:rsidR="006E7B69" w:rsidRPr="006E7B69" w:rsidTr="003D06BC">
        <w:tc>
          <w:tcPr>
            <w:tcW w:w="2093" w:type="dxa"/>
          </w:tcPr>
          <w:p w:rsidR="006E7B69" w:rsidRPr="006E7B69" w:rsidRDefault="006E7B69" w:rsidP="006E7B69">
            <w:pPr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 xml:space="preserve">General </w:t>
            </w:r>
          </w:p>
        </w:tc>
        <w:tc>
          <w:tcPr>
            <w:tcW w:w="8788" w:type="dxa"/>
          </w:tcPr>
          <w:p w:rsidR="006E7B69" w:rsidRPr="006E7B69" w:rsidRDefault="006E7B69" w:rsidP="006E7B6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Always uphold the school’s PRIDE agenda</w:t>
            </w:r>
          </w:p>
          <w:p w:rsidR="006E7B69" w:rsidRPr="006E7B69" w:rsidRDefault="006E7B69" w:rsidP="006E7B6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Adhere to strict standards of confidentiality</w:t>
            </w:r>
          </w:p>
          <w:p w:rsidR="006E7B69" w:rsidRPr="006E7B69" w:rsidRDefault="006E7B69" w:rsidP="006E7B6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Ensure compliance with data protection, equal opportunities, health and safety and safeguarding regulations, policies and guidance</w:t>
            </w:r>
          </w:p>
          <w:p w:rsidR="006E7B69" w:rsidRPr="006E7B69" w:rsidRDefault="006E7B69" w:rsidP="006E7B6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Undertake training and continuing professional development as required</w:t>
            </w:r>
          </w:p>
        </w:tc>
      </w:tr>
    </w:tbl>
    <w:p w:rsidR="006E7B69" w:rsidRPr="006E7B69" w:rsidRDefault="006E7B69" w:rsidP="006E7B69">
      <w:pPr>
        <w:spacing w:after="200" w:line="276" w:lineRule="auto"/>
        <w:rPr>
          <w:rFonts w:ascii="Arial" w:eastAsia="Times New Roman" w:hAnsi="Arial" w:cs="Arial"/>
          <w:b/>
          <w:lang w:val="en-GB" w:eastAsia="en-GB"/>
        </w:rPr>
      </w:pPr>
    </w:p>
    <w:p w:rsidR="006E7B69" w:rsidRPr="006E7B69" w:rsidRDefault="006E7B69" w:rsidP="006E7B69">
      <w:pPr>
        <w:tabs>
          <w:tab w:val="left" w:pos="-720"/>
        </w:tabs>
        <w:suppressAutoHyphens/>
        <w:spacing w:after="200" w:line="245" w:lineRule="exact"/>
        <w:jc w:val="both"/>
        <w:rPr>
          <w:rFonts w:ascii="Arial" w:eastAsia="Times New Roman" w:hAnsi="Arial" w:cs="Arial"/>
          <w:spacing w:val="-2"/>
          <w:lang w:val="en-GB" w:eastAsia="en-GB"/>
        </w:rPr>
      </w:pPr>
      <w:r w:rsidRPr="006E7B69">
        <w:rPr>
          <w:rFonts w:ascii="Arial" w:eastAsia="Times New Roman" w:hAnsi="Arial" w:cs="Arial"/>
          <w:spacing w:val="-2"/>
          <w:lang w:val="en-GB" w:eastAsia="en-GB"/>
        </w:rPr>
        <w:t xml:space="preserve">This job description is not necessarily a comprehensive definition of the post and may be subject to modification or amendment at any time after consultation with the post holder.   Additional duties may be requested from time to </w:t>
      </w:r>
      <w:proofErr w:type="gramStart"/>
      <w:r w:rsidRPr="006E7B69">
        <w:rPr>
          <w:rFonts w:ascii="Arial" w:eastAsia="Times New Roman" w:hAnsi="Arial" w:cs="Arial"/>
          <w:spacing w:val="-2"/>
          <w:lang w:val="en-GB" w:eastAsia="en-GB"/>
        </w:rPr>
        <w:t>time</w:t>
      </w:r>
      <w:proofErr w:type="gramEnd"/>
      <w:r w:rsidRPr="006E7B69">
        <w:rPr>
          <w:rFonts w:ascii="Arial" w:eastAsia="Times New Roman" w:hAnsi="Arial" w:cs="Arial"/>
          <w:spacing w:val="-2"/>
          <w:lang w:val="en-GB" w:eastAsia="en-GB"/>
        </w:rPr>
        <w:t xml:space="preserve"> which are commensurate with the post.</w:t>
      </w:r>
    </w:p>
    <w:p w:rsidR="006E7B69" w:rsidRPr="006E7B69" w:rsidRDefault="006E7B69" w:rsidP="006E7B69">
      <w:pPr>
        <w:tabs>
          <w:tab w:val="right" w:pos="9746"/>
        </w:tabs>
        <w:suppressAutoHyphens/>
        <w:spacing w:after="200" w:line="245" w:lineRule="exact"/>
        <w:jc w:val="both"/>
        <w:rPr>
          <w:rFonts w:ascii="Arial" w:eastAsia="Times New Roman" w:hAnsi="Arial" w:cs="Arial"/>
          <w:spacing w:val="-2"/>
          <w:lang w:val="en-GB" w:eastAsia="en-GB"/>
        </w:rPr>
      </w:pPr>
      <w:r w:rsidRPr="006E7B69">
        <w:rPr>
          <w:rFonts w:ascii="Arial" w:eastAsia="Times New Roman" w:hAnsi="Arial" w:cs="Arial"/>
          <w:spacing w:val="-2"/>
          <w:lang w:val="en-GB" w:eastAsia="en-GB"/>
        </w:rPr>
        <w:t xml:space="preserve">We are committed to safeguarding and promoting the welfare of children and young people and all post-holders </w:t>
      </w:r>
      <w:proofErr w:type="gramStart"/>
      <w:r w:rsidRPr="006E7B69">
        <w:rPr>
          <w:rFonts w:ascii="Arial" w:eastAsia="Times New Roman" w:hAnsi="Arial" w:cs="Arial"/>
          <w:spacing w:val="-2"/>
          <w:lang w:val="en-GB" w:eastAsia="en-GB"/>
        </w:rPr>
        <w:t>are expected</w:t>
      </w:r>
      <w:proofErr w:type="gramEnd"/>
      <w:r w:rsidRPr="006E7B69">
        <w:rPr>
          <w:rFonts w:ascii="Arial" w:eastAsia="Times New Roman" w:hAnsi="Arial" w:cs="Arial"/>
          <w:spacing w:val="-2"/>
          <w:lang w:val="en-GB" w:eastAsia="en-GB"/>
        </w:rPr>
        <w:t xml:space="preserve"> to share this commitment.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6E7B69" w:rsidRPr="006E7B69" w:rsidTr="003D06BC">
        <w:tc>
          <w:tcPr>
            <w:tcW w:w="3192" w:type="dxa"/>
          </w:tcPr>
          <w:p w:rsidR="006E7B69" w:rsidRPr="006E7B69" w:rsidRDefault="006E7B69" w:rsidP="006E7B69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Reports to:</w:t>
            </w:r>
          </w:p>
        </w:tc>
        <w:tc>
          <w:tcPr>
            <w:tcW w:w="3192" w:type="dxa"/>
          </w:tcPr>
          <w:p w:rsidR="006E7B69" w:rsidRPr="006E7B69" w:rsidRDefault="006E7B69" w:rsidP="006E7B69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Director of English</w:t>
            </w:r>
          </w:p>
        </w:tc>
      </w:tr>
      <w:tr w:rsidR="006E7B69" w:rsidRPr="006E7B69" w:rsidTr="003D06BC">
        <w:tc>
          <w:tcPr>
            <w:tcW w:w="3192" w:type="dxa"/>
          </w:tcPr>
          <w:p w:rsidR="006E7B69" w:rsidRPr="006E7B69" w:rsidRDefault="006E7B69" w:rsidP="006E7B69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Responsible for:</w:t>
            </w:r>
          </w:p>
        </w:tc>
        <w:tc>
          <w:tcPr>
            <w:tcW w:w="3192" w:type="dxa"/>
          </w:tcPr>
          <w:p w:rsidR="006E7B69" w:rsidRPr="006E7B69" w:rsidRDefault="006E7B69" w:rsidP="006E7B69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 w:rsidRPr="006E7B69">
              <w:rPr>
                <w:rFonts w:ascii="Arial" w:hAnsi="Arial" w:cs="Arial"/>
              </w:rPr>
              <w:t>-</w:t>
            </w:r>
          </w:p>
        </w:tc>
      </w:tr>
    </w:tbl>
    <w:p w:rsidR="006E7B69" w:rsidRPr="006E7B69" w:rsidRDefault="006E7B69" w:rsidP="006E7B69">
      <w:pPr>
        <w:spacing w:after="200" w:line="276" w:lineRule="auto"/>
        <w:ind w:left="360"/>
        <w:contextualSpacing/>
        <w:rPr>
          <w:rFonts w:ascii="Arial" w:eastAsia="Times New Roman" w:hAnsi="Arial" w:cs="Arial"/>
          <w:lang w:val="en-GB" w:eastAsia="en-GB"/>
        </w:rPr>
      </w:pPr>
    </w:p>
    <w:p w:rsidR="00117651" w:rsidRDefault="00117651">
      <w:bookmarkStart w:id="0" w:name="_GoBack"/>
      <w:bookmarkEnd w:id="0"/>
    </w:p>
    <w:sectPr w:rsidR="0011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5A47"/>
    <w:multiLevelType w:val="hybridMultilevel"/>
    <w:tmpl w:val="62DC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B7514"/>
    <w:multiLevelType w:val="hybridMultilevel"/>
    <w:tmpl w:val="C06C8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03DCC"/>
    <w:multiLevelType w:val="hybridMultilevel"/>
    <w:tmpl w:val="C87843A8"/>
    <w:lvl w:ilvl="0" w:tplc="2C843E4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69"/>
    <w:rsid w:val="00117651"/>
    <w:rsid w:val="006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0E4F8-45E6-4892-B109-87841512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B69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Brown</dc:creator>
  <cp:keywords/>
  <dc:description/>
  <cp:lastModifiedBy>Nora Brown</cp:lastModifiedBy>
  <cp:revision>1</cp:revision>
  <dcterms:created xsi:type="dcterms:W3CDTF">2018-06-07T13:04:00Z</dcterms:created>
  <dcterms:modified xsi:type="dcterms:W3CDTF">2018-06-07T13:05:00Z</dcterms:modified>
</cp:coreProperties>
</file>