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Default="00F450BF" w:rsidP="00F450BF"/>
    <w:p w:rsidR="00F450BF" w:rsidRDefault="00F450BF" w:rsidP="00F450BF"/>
    <w:p w:rsidR="00F450BF" w:rsidRPr="00F450BF" w:rsidRDefault="00F450BF" w:rsidP="00F450BF"/>
    <w:p w:rsidR="00B12A43" w:rsidRPr="00B12A43" w:rsidRDefault="00B12A43" w:rsidP="00B12A43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 descr="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th Fo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4" w:rsidRDefault="002F4324" w:rsidP="002F4324"/>
    <w:p w:rsidR="002F4324" w:rsidRPr="002F4324" w:rsidRDefault="002F4324" w:rsidP="002F4324">
      <w:pPr>
        <w:keepNext/>
        <w:keepLines/>
        <w:jc w:val="center"/>
        <w:outlineLvl w:val="1"/>
        <w:rPr>
          <w:rFonts w:cs="Arial"/>
          <w:b/>
          <w:iCs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iCs/>
          <w:sz w:val="24"/>
          <w:szCs w:val="24"/>
          <w:u w:val="single"/>
          <w:lang w:eastAsia="en-GB"/>
        </w:rPr>
        <w:t>Job Description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Job Title: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A32A3E">
        <w:rPr>
          <w:rFonts w:cs="Arial"/>
          <w:sz w:val="24"/>
          <w:szCs w:val="24"/>
          <w:lang w:eastAsia="en-GB"/>
        </w:rPr>
        <w:t>Personal</w:t>
      </w:r>
      <w:r w:rsidR="003C4711">
        <w:rPr>
          <w:rFonts w:cs="Arial"/>
          <w:sz w:val="24"/>
          <w:szCs w:val="24"/>
          <w:lang w:eastAsia="en-GB"/>
        </w:rPr>
        <w:t xml:space="preserve"> </w:t>
      </w:r>
      <w:r w:rsidR="005A366A">
        <w:rPr>
          <w:rFonts w:cs="Arial"/>
          <w:sz w:val="24"/>
          <w:szCs w:val="24"/>
          <w:lang w:eastAsia="en-GB"/>
        </w:rPr>
        <w:t xml:space="preserve">Development </w:t>
      </w:r>
      <w:r w:rsidR="003C4711">
        <w:rPr>
          <w:rFonts w:cs="Arial"/>
          <w:sz w:val="24"/>
          <w:szCs w:val="24"/>
          <w:lang w:eastAsia="en-GB"/>
        </w:rPr>
        <w:t xml:space="preserve">Coach </w:t>
      </w:r>
      <w:r w:rsidRPr="002F4324">
        <w:rPr>
          <w:rFonts w:cs="Arial"/>
          <w:sz w:val="24"/>
          <w:szCs w:val="24"/>
          <w:lang w:eastAsia="en-GB"/>
        </w:rPr>
        <w:t xml:space="preserve"> </w:t>
      </w:r>
    </w:p>
    <w:p w:rsidR="002F4324" w:rsidRPr="00C25421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Department/Office:</w:t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3C4711">
        <w:rPr>
          <w:rFonts w:cs="Arial"/>
          <w:sz w:val="24"/>
          <w:szCs w:val="24"/>
          <w:lang w:eastAsia="en-GB"/>
        </w:rPr>
        <w:t>Student Support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Reports to: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3C4711">
        <w:rPr>
          <w:rFonts w:cs="Arial"/>
          <w:sz w:val="24"/>
          <w:szCs w:val="24"/>
          <w:lang w:eastAsia="en-GB"/>
        </w:rPr>
        <w:t>Assistant Principal: Students</w:t>
      </w:r>
      <w:r w:rsidR="00C25421">
        <w:rPr>
          <w:rFonts w:cs="Arial"/>
          <w:sz w:val="24"/>
          <w:szCs w:val="24"/>
          <w:lang w:eastAsia="en-GB"/>
        </w:rPr>
        <w:t xml:space="preserve"> 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Summary </w:t>
      </w:r>
      <w:r>
        <w:rPr>
          <w:rFonts w:cs="Arial"/>
          <w:b/>
          <w:sz w:val="24"/>
          <w:szCs w:val="24"/>
          <w:u w:val="single"/>
          <w:lang w:eastAsia="en-GB"/>
        </w:rPr>
        <w:t>of m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ain </w:t>
      </w:r>
      <w:r>
        <w:rPr>
          <w:rFonts w:cs="Arial"/>
          <w:b/>
          <w:sz w:val="24"/>
          <w:szCs w:val="24"/>
          <w:u w:val="single"/>
          <w:lang w:eastAsia="en-GB"/>
        </w:rPr>
        <w:t>p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urpose of Role 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To </w:t>
      </w:r>
      <w:r w:rsidR="003C4711">
        <w:rPr>
          <w:rFonts w:cs="Arial"/>
          <w:sz w:val="24"/>
          <w:szCs w:val="24"/>
          <w:lang w:eastAsia="en-GB"/>
        </w:rPr>
        <w:t xml:space="preserve">support, </w:t>
      </w:r>
      <w:r w:rsidR="005C6F6B">
        <w:rPr>
          <w:rFonts w:cs="Arial"/>
          <w:sz w:val="24"/>
          <w:szCs w:val="24"/>
          <w:lang w:eastAsia="en-GB"/>
        </w:rPr>
        <w:t xml:space="preserve">advise, </w:t>
      </w:r>
      <w:r w:rsidR="003C4711">
        <w:rPr>
          <w:rFonts w:cs="Arial"/>
          <w:sz w:val="24"/>
          <w:szCs w:val="24"/>
          <w:lang w:eastAsia="en-GB"/>
        </w:rPr>
        <w:t>challenge and monitor individual</w:t>
      </w:r>
      <w:r w:rsidR="005C6F6B">
        <w:rPr>
          <w:rFonts w:cs="Arial"/>
          <w:sz w:val="24"/>
          <w:szCs w:val="24"/>
          <w:lang w:eastAsia="en-GB"/>
        </w:rPr>
        <w:t xml:space="preserve"> </w:t>
      </w:r>
      <w:r w:rsidR="008E5803">
        <w:rPr>
          <w:rFonts w:cs="Arial"/>
          <w:sz w:val="24"/>
          <w:szCs w:val="24"/>
          <w:lang w:eastAsia="en-GB"/>
        </w:rPr>
        <w:t xml:space="preserve">and groups of A level </w:t>
      </w:r>
      <w:r w:rsidR="005C6F6B">
        <w:rPr>
          <w:rFonts w:cs="Arial"/>
          <w:sz w:val="24"/>
          <w:szCs w:val="24"/>
          <w:lang w:eastAsia="en-GB"/>
        </w:rPr>
        <w:t>students</w:t>
      </w:r>
      <w:r w:rsidR="003C4711">
        <w:rPr>
          <w:rFonts w:cs="Arial"/>
          <w:sz w:val="24"/>
          <w:szCs w:val="24"/>
          <w:lang w:eastAsia="en-GB"/>
        </w:rPr>
        <w:t xml:space="preserve"> to ensure they have high attendance and make effective progress towards an aspirational progression plan</w:t>
      </w:r>
      <w:r w:rsidR="008E5803">
        <w:rPr>
          <w:rFonts w:cs="Arial"/>
          <w:sz w:val="24"/>
          <w:szCs w:val="24"/>
          <w:lang w:eastAsia="en-GB"/>
        </w:rPr>
        <w:t>, which for most will be university</w:t>
      </w:r>
    </w:p>
    <w:p w:rsid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Default="009D022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r w:rsidR="005A366A">
        <w:rPr>
          <w:b/>
          <w:sz w:val="24"/>
          <w:szCs w:val="24"/>
        </w:rPr>
        <w:t>Development</w:t>
      </w:r>
      <w:r>
        <w:rPr>
          <w:b/>
          <w:sz w:val="24"/>
          <w:szCs w:val="24"/>
        </w:rPr>
        <w:t xml:space="preserve"> of Students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Receive students to the College, providing information and advice to support them in developing aspirational progression plans</w:t>
      </w:r>
      <w:r w:rsidR="008E5803">
        <w:rPr>
          <w:sz w:val="24"/>
          <w:szCs w:val="24"/>
        </w:rPr>
        <w:t>, which for most will be university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Hold regular 1:1s with students to provide coaching to help them make progress towards their progression plans</w:t>
      </w:r>
      <w:r w:rsidR="008E5803">
        <w:rPr>
          <w:sz w:val="24"/>
          <w:szCs w:val="24"/>
        </w:rPr>
        <w:t>, including through the UCAS process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 xml:space="preserve">In accordance with schemes of work, instruct students for up to 1000 hours per annum in line with ILPs and curriculum plans for Personal </w:t>
      </w:r>
      <w:r w:rsidR="005A366A">
        <w:rPr>
          <w:sz w:val="24"/>
          <w:szCs w:val="24"/>
        </w:rPr>
        <w:t>Development</w:t>
      </w:r>
      <w:r w:rsidRPr="005C6F6B">
        <w:rPr>
          <w:sz w:val="24"/>
          <w:szCs w:val="24"/>
        </w:rPr>
        <w:t xml:space="preserve">, which have been designed </w:t>
      </w:r>
      <w:r w:rsidR="008E5803">
        <w:rPr>
          <w:sz w:val="24"/>
          <w:szCs w:val="24"/>
        </w:rPr>
        <w:t>to support students to university or other aspirational destination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Maintain regular contact with parents/guardians including through parents evenings, telephone calls, face to face meetings, and home visits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Assess, monitor and mark student work from P</w:t>
      </w:r>
      <w:r w:rsidR="00165759">
        <w:rPr>
          <w:sz w:val="24"/>
          <w:szCs w:val="24"/>
        </w:rPr>
        <w:t xml:space="preserve">ersonal </w:t>
      </w:r>
      <w:r w:rsidR="005A366A">
        <w:rPr>
          <w:sz w:val="24"/>
          <w:szCs w:val="24"/>
        </w:rPr>
        <w:t>Development</w:t>
      </w:r>
      <w:r w:rsidR="00165759">
        <w:rPr>
          <w:sz w:val="24"/>
          <w:szCs w:val="24"/>
        </w:rPr>
        <w:t xml:space="preserve"> group sessions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Complete and maintain accurate records, to ensure that actions are tracked, including through etrackr</w:t>
      </w:r>
    </w:p>
    <w:p w:rsidR="009D0226" w:rsidRPr="005C6F6B" w:rsidRDefault="009D0226" w:rsidP="009D0226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Supervise student learning activities in a learning centre, library, lecture room, IT centre, field work, visits, placements or other learning situation</w:t>
      </w:r>
    </w:p>
    <w:p w:rsidR="009D0226" w:rsidRDefault="009D0226" w:rsidP="009D022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Support</w:t>
      </w:r>
    </w:p>
    <w:p w:rsidR="009D0226" w:rsidRPr="005C6F6B" w:rsidRDefault="009D0226" w:rsidP="009D022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lastRenderedPageBreak/>
        <w:t>Liaise with teaching staff to ensure that additional support is provided where there are subject progress concerns for individual students</w:t>
      </w:r>
    </w:p>
    <w:p w:rsidR="009D0226" w:rsidRPr="005C6F6B" w:rsidRDefault="009D0226" w:rsidP="009D022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Liaise with Careers Leader to ensure that additional support is provided where there are career progression concerns for individual students</w:t>
      </w:r>
    </w:p>
    <w:p w:rsidR="009D0226" w:rsidRPr="005C6F6B" w:rsidRDefault="009D0226" w:rsidP="009D022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Liaise with Learning Support staff to ensure that additional support is provided where there are learning support concerns</w:t>
      </w:r>
    </w:p>
    <w:p w:rsidR="009D0226" w:rsidRPr="005C6F6B" w:rsidRDefault="009D0226" w:rsidP="009D0226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C6F6B">
        <w:rPr>
          <w:sz w:val="24"/>
          <w:szCs w:val="24"/>
        </w:rPr>
        <w:t>Liaise with Wider College Leadership Team to ensure student attendance procedure and student disciplinary procedure are followed</w:t>
      </w:r>
    </w:p>
    <w:p w:rsidR="009D0226" w:rsidRDefault="009D0226" w:rsidP="009D022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responsibilities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Prepare, adapt, organise and maintain learning resources and environment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Prepare for instructing, assessing and supervising the learning experience and the learning environment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Produce and carry out as directed, the organisation and administration appropriate to the learning situation including the marking of registers and the submission of other returns and records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Attend team, college and other appropriate meetings as required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Participate in any training appropriate for the role which may require attending internal or external courses</w:t>
      </w:r>
    </w:p>
    <w:p w:rsid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Contribute to the on-going development of schemes of work and curriculum plans</w:t>
      </w:r>
    </w:p>
    <w:p w:rsidR="005C6F6B" w:rsidRPr="005C6F6B" w:rsidRDefault="005C6F6B" w:rsidP="005C6F6B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Undertake health and safety checks</w:t>
      </w:r>
    </w:p>
    <w:p w:rsidR="009D0226" w:rsidRPr="002F4324" w:rsidRDefault="009D0226" w:rsidP="009D0226">
      <w:pPr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St</w:t>
      </w:r>
      <w:r w:rsidRPr="002F4324">
        <w:rPr>
          <w:rFonts w:cs="Arial"/>
          <w:b/>
          <w:sz w:val="24"/>
          <w:szCs w:val="24"/>
          <w:lang w:eastAsia="en-GB"/>
        </w:rPr>
        <w:t xml:space="preserve">andard responsibilities for all positions </w:t>
      </w:r>
      <w:r>
        <w:rPr>
          <w:rFonts w:cs="Arial"/>
          <w:b/>
          <w:sz w:val="24"/>
          <w:szCs w:val="24"/>
          <w:lang w:eastAsia="en-GB"/>
        </w:rPr>
        <w:t>in NCG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9D0226" w:rsidRPr="002F4324" w:rsidRDefault="009D0226" w:rsidP="009D0226">
      <w:pPr>
        <w:rPr>
          <w:rFonts w:cs="Arial"/>
          <w:sz w:val="24"/>
          <w:szCs w:val="24"/>
          <w:lang w:eastAsia="en-GB"/>
        </w:rPr>
      </w:pPr>
    </w:p>
    <w:p w:rsidR="009D0226" w:rsidRPr="002F4324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Participate in any staff review/per</w:t>
      </w:r>
      <w:r>
        <w:rPr>
          <w:rFonts w:cs="Arial"/>
          <w:sz w:val="24"/>
          <w:szCs w:val="24"/>
          <w:lang w:eastAsia="en-GB"/>
        </w:rPr>
        <w:t>form</w:t>
      </w:r>
      <w:r w:rsidRPr="002F4324">
        <w:rPr>
          <w:rFonts w:cs="Arial"/>
          <w:sz w:val="24"/>
          <w:szCs w:val="24"/>
          <w:lang w:eastAsia="en-GB"/>
        </w:rPr>
        <w:t>ance management processes involving the identifying and meeting of training needs for self and others.</w:t>
      </w:r>
    </w:p>
    <w:p w:rsidR="009D0226" w:rsidRPr="002F4324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9D0226" w:rsidRPr="002F4324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9D0226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9D0226" w:rsidRPr="002F4324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Comply with all NCG policies and procedures.</w:t>
      </w:r>
    </w:p>
    <w:p w:rsidR="009D0226" w:rsidRPr="002F4324" w:rsidRDefault="009D0226" w:rsidP="009D0226">
      <w:pPr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N</w:t>
      </w:r>
      <w:r>
        <w:rPr>
          <w:rFonts w:cs="Arial"/>
          <w:sz w:val="24"/>
          <w:szCs w:val="24"/>
          <w:lang w:eastAsia="en-GB"/>
        </w:rPr>
        <w:t>CG</w:t>
      </w:r>
      <w:r w:rsidRPr="002F4324">
        <w:rPr>
          <w:rFonts w:cs="Arial"/>
          <w:sz w:val="24"/>
          <w:szCs w:val="24"/>
          <w:lang w:eastAsia="en-GB"/>
        </w:rPr>
        <w:t xml:space="preserve"> is committed to safeguarding and promoting the welfare of children, young people and vulnerable adults</w:t>
      </w:r>
      <w:r>
        <w:rPr>
          <w:rFonts w:cs="Arial"/>
          <w:sz w:val="24"/>
          <w:szCs w:val="24"/>
          <w:lang w:eastAsia="en-GB"/>
        </w:rPr>
        <w:t xml:space="preserve"> and expects all </w:t>
      </w:r>
      <w:r w:rsidRPr="002F4324">
        <w:rPr>
          <w:rFonts w:cs="Arial"/>
          <w:sz w:val="24"/>
          <w:szCs w:val="24"/>
          <w:lang w:eastAsia="en-GB"/>
        </w:rPr>
        <w:t>staff to share this commitment.</w:t>
      </w:r>
    </w:p>
    <w:p w:rsidR="009D0226" w:rsidRDefault="009D0226">
      <w:pPr>
        <w:spacing w:after="200" w:line="276" w:lineRule="auto"/>
        <w:rPr>
          <w:b/>
          <w:sz w:val="24"/>
          <w:szCs w:val="24"/>
        </w:rPr>
      </w:pPr>
    </w:p>
    <w:p w:rsidR="009D0226" w:rsidRDefault="009D0226">
      <w:pPr>
        <w:spacing w:after="200" w:line="276" w:lineRule="auto"/>
        <w:rPr>
          <w:b/>
          <w:sz w:val="24"/>
          <w:szCs w:val="24"/>
        </w:rPr>
      </w:pPr>
    </w:p>
    <w:p w:rsidR="009D0226" w:rsidRDefault="009D0226">
      <w:pPr>
        <w:spacing w:after="200" w:line="276" w:lineRule="auto"/>
        <w:rPr>
          <w:b/>
          <w:sz w:val="24"/>
          <w:szCs w:val="24"/>
        </w:rPr>
      </w:pPr>
    </w:p>
    <w:p w:rsidR="009D0226" w:rsidRDefault="009D0226">
      <w:pPr>
        <w:spacing w:after="200" w:line="276" w:lineRule="auto"/>
        <w:rPr>
          <w:b/>
          <w:sz w:val="24"/>
          <w:szCs w:val="24"/>
        </w:rPr>
      </w:pPr>
    </w:p>
    <w:p w:rsidR="009D0226" w:rsidRDefault="009D0226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5C6F6B" w:rsidRDefault="005C6F6B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165759" w:rsidRDefault="00165759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165759" w:rsidRDefault="00165759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C7569F" w:rsidRDefault="00C7569F" w:rsidP="00B11D36">
      <w:pPr>
        <w:rPr>
          <w:b/>
          <w:sz w:val="24"/>
          <w:szCs w:val="24"/>
        </w:rPr>
      </w:pPr>
      <w:r w:rsidRPr="00B11D36">
        <w:rPr>
          <w:b/>
          <w:sz w:val="24"/>
          <w:szCs w:val="24"/>
        </w:rPr>
        <w:t xml:space="preserve">Person Specification </w:t>
      </w:r>
    </w:p>
    <w:p w:rsidR="005C6F6B" w:rsidRDefault="005C6F6B" w:rsidP="00B11D36">
      <w:pPr>
        <w:rPr>
          <w:b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1237"/>
        <w:gridCol w:w="1249"/>
        <w:gridCol w:w="1671"/>
      </w:tblGrid>
      <w:tr w:rsidR="005C6F6B" w:rsidRPr="00D57CC3" w:rsidTr="00C02A96">
        <w:trPr>
          <w:trHeight w:val="556"/>
          <w:tblHeader/>
        </w:trPr>
        <w:tc>
          <w:tcPr>
            <w:tcW w:w="5083" w:type="dxa"/>
            <w:shd w:val="clear" w:color="auto" w:fill="auto"/>
          </w:tcPr>
          <w:p w:rsidR="005C6F6B" w:rsidRPr="008971C4" w:rsidRDefault="005C6F6B" w:rsidP="00C02A96">
            <w:pPr>
              <w:jc w:val="both"/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b/>
                <w:bCs/>
              </w:rPr>
            </w:pPr>
            <w:r w:rsidRPr="008971C4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b/>
                <w:bCs/>
              </w:rPr>
            </w:pPr>
            <w:r w:rsidRPr="008971C4"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b/>
                <w:bCs/>
              </w:rPr>
            </w:pPr>
            <w:r w:rsidRPr="008971C4">
              <w:rPr>
                <w:rFonts w:cs="Arial"/>
                <w:b/>
                <w:bCs/>
              </w:rPr>
              <w:t>Method of assessment</w:t>
            </w:r>
          </w:p>
        </w:tc>
      </w:tr>
      <w:tr w:rsidR="005C6F6B" w:rsidRPr="00D57CC3" w:rsidTr="00C02A96">
        <w:trPr>
          <w:cantSplit/>
          <w:trHeight w:val="431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rPr>
                <w:rFonts w:cs="Arial"/>
                <w:color w:val="FFFFFF"/>
              </w:rPr>
            </w:pPr>
            <w:r w:rsidRPr="008971C4">
              <w:rPr>
                <w:rFonts w:cs="Arial"/>
                <w:b/>
                <w:bCs/>
              </w:rPr>
              <w:t>Qualifications 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rPr>
                <w:rFonts w:cs="Arial"/>
                <w:color w:val="FFFFFF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FFFFFF"/>
              </w:rPr>
            </w:pP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2:1 degree or equivalent or better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5C6F6B" w:rsidRPr="00D57CC3" w:rsidTr="00C02A96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 xml:space="preserve">Experience of studying at a Russell Group University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5C6F6B" w:rsidRPr="00D57CC3" w:rsidTr="00C02A96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 xml:space="preserve">Relevant postgraduate or professional training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5C6F6B" w:rsidRPr="00D57CC3" w:rsidTr="00C02A96">
        <w:trPr>
          <w:trHeight w:val="384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b/>
                <w:bCs/>
                <w:color w:val="000000" w:themeColor="text1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Experience of successfully working with young people to achieve a significant goal, this could be as a leader or participant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 /Interview</w:t>
            </w: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Experience of successfully organising events individually or as part of a team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8971C4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Form/Interview</w:t>
            </w:r>
          </w:p>
        </w:tc>
      </w:tr>
      <w:tr w:rsidR="008971C4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8971C4" w:rsidRPr="008971C4" w:rsidRDefault="008971C4" w:rsidP="008971C4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 xml:space="preserve">Successful experience of coaching either as a coach or participant.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971C4" w:rsidRPr="008971C4" w:rsidRDefault="008971C4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8971C4" w:rsidRPr="008971C4" w:rsidRDefault="008971C4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Form/Interview</w:t>
            </w: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5C6F6B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Experience of providing information advice and guidance to Sixth Form Students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 /Interview</w:t>
            </w: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Experience of multi-tasking and prioritising to achieve multiple demanding targets with differing deadlines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 /Interview</w:t>
            </w: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</w:rPr>
            </w:pPr>
            <w:r w:rsidRPr="008971C4">
              <w:rPr>
                <w:rFonts w:cs="Arial"/>
                <w:b/>
                <w:bCs/>
                <w:color w:val="000000" w:themeColor="text1"/>
              </w:rPr>
              <w:t>Skills and Knowledge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8971C4" w:rsidRPr="00D57CC3" w:rsidTr="00C02A96">
        <w:trPr>
          <w:cantSplit/>
          <w:trHeight w:hRule="exact" w:val="675"/>
        </w:trPr>
        <w:tc>
          <w:tcPr>
            <w:tcW w:w="5083" w:type="dxa"/>
            <w:shd w:val="clear" w:color="auto" w:fill="auto"/>
            <w:vAlign w:val="center"/>
          </w:tcPr>
          <w:p w:rsidR="008971C4" w:rsidRPr="008971C4" w:rsidRDefault="008971C4" w:rsidP="008971C4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Ability to inspire and motivate others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8971C4" w:rsidRPr="00D57CC3" w:rsidTr="00C02A96">
        <w:trPr>
          <w:cantSplit/>
          <w:trHeight w:hRule="exact" w:val="515"/>
        </w:trPr>
        <w:tc>
          <w:tcPr>
            <w:tcW w:w="5083" w:type="dxa"/>
            <w:shd w:val="clear" w:color="auto" w:fill="auto"/>
            <w:vAlign w:val="center"/>
          </w:tcPr>
          <w:p w:rsidR="008971C4" w:rsidRPr="008971C4" w:rsidRDefault="008971C4" w:rsidP="008971C4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Clear idea about the factors that contribute to an individual’s educational success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  <w:r w:rsidR="0067570A">
              <w:rPr>
                <w:rFonts w:cs="Arial"/>
                <w:color w:val="000000" w:themeColor="text1"/>
              </w:rPr>
              <w:t>/Interview</w:t>
            </w:r>
            <w:bookmarkStart w:id="0" w:name="_GoBack"/>
            <w:bookmarkEnd w:id="0"/>
          </w:p>
        </w:tc>
      </w:tr>
      <w:tr w:rsidR="005C6F6B" w:rsidRPr="00D57CC3" w:rsidTr="00C02A96">
        <w:trPr>
          <w:cantSplit/>
          <w:trHeight w:hRule="exact" w:val="839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Razor-sharp ability to analyse large data sets including confidence with Excel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 /Interview</w:t>
            </w:r>
          </w:p>
        </w:tc>
      </w:tr>
      <w:tr w:rsidR="005C6F6B" w:rsidRPr="00D57CC3" w:rsidTr="00C02A96">
        <w:trPr>
          <w:cantSplit/>
          <w:trHeight w:hRule="exact" w:val="857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8971C4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Excellent communicator able to engage and enthuse a wide variety of people including students, parents, </w:t>
            </w:r>
            <w:r w:rsidR="008971C4" w:rsidRPr="008971C4">
              <w:rPr>
                <w:rFonts w:ascii="Arial" w:hAnsi="Arial" w:cs="Arial"/>
                <w:color w:val="000000" w:themeColor="text1"/>
                <w:szCs w:val="22"/>
              </w:rPr>
              <w:t>and teachers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 /Interview</w:t>
            </w:r>
          </w:p>
        </w:tc>
      </w:tr>
      <w:tr w:rsidR="005C6F6B" w:rsidRPr="00D57CC3" w:rsidTr="00C02A96">
        <w:trPr>
          <w:cantSplit/>
          <w:trHeight w:hRule="exact" w:val="982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8971C4" w:rsidP="008971C4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Highly reflective about own areas for development with a </w:t>
            </w:r>
            <w:r w:rsidR="005C6F6B" w:rsidRPr="008971C4">
              <w:rPr>
                <w:rFonts w:ascii="Arial" w:hAnsi="Arial" w:cs="Arial"/>
                <w:color w:val="000000" w:themeColor="text1"/>
                <w:szCs w:val="22"/>
              </w:rPr>
              <w:t>willingness to</w:t>
            </w: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 improve</w:t>
            </w:r>
            <w:r w:rsidR="005C6F6B"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 skills</w:t>
            </w: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Interview</w:t>
            </w:r>
          </w:p>
        </w:tc>
      </w:tr>
      <w:tr w:rsidR="005C6F6B" w:rsidRPr="00D57CC3" w:rsidTr="00C02A96">
        <w:trPr>
          <w:cantSplit/>
          <w:trHeight w:hRule="exact" w:val="1138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8971C4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lastRenderedPageBreak/>
              <w:t>Knowledge of the</w:t>
            </w:r>
            <w:r w:rsidR="008971C4" w:rsidRPr="008971C4">
              <w:rPr>
                <w:rFonts w:cs="Arial"/>
                <w:color w:val="000000" w:themeColor="text1"/>
              </w:rPr>
              <w:t xml:space="preserve"> ongoing</w:t>
            </w:r>
            <w:r w:rsidRPr="008971C4">
              <w:rPr>
                <w:rFonts w:cs="Arial"/>
                <w:color w:val="000000" w:themeColor="text1"/>
              </w:rPr>
              <w:t xml:space="preserve"> developments in Secondary and Higher Education in the UK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5C6F6B" w:rsidRPr="00D57CC3" w:rsidTr="00C02A96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</w:rPr>
            </w:pPr>
            <w:r w:rsidRPr="008971C4">
              <w:rPr>
                <w:rFonts w:cs="Arial"/>
                <w:b/>
                <w:bCs/>
                <w:color w:val="000000" w:themeColor="text1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5C6F6B" w:rsidRPr="008971C4" w:rsidRDefault="005C6F6B" w:rsidP="00C02A9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5C6F6B" w:rsidRPr="00D57CC3" w:rsidTr="00165759">
        <w:trPr>
          <w:cantSplit/>
          <w:trHeight w:hRule="exact" w:val="1422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Committed to safeguarding and promoting the welfare of children, young people and vulnerable adults. We expect all staff to share this commitment</w:t>
            </w:r>
          </w:p>
          <w:p w:rsidR="00165759" w:rsidRPr="008971C4" w:rsidRDefault="00165759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Staff will always strive to achieve 1 or 2 during lesson observation to demonstrate excellence in Teaching and Learning</w:t>
            </w:r>
          </w:p>
          <w:p w:rsidR="005C6F6B" w:rsidRPr="008971C4" w:rsidRDefault="005C6F6B" w:rsidP="00C02A9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  <w:p w:rsidR="00165759" w:rsidRDefault="00165759" w:rsidP="00C02A96">
            <w:pPr>
              <w:jc w:val="center"/>
              <w:rPr>
                <w:rFonts w:cs="Arial"/>
                <w:color w:val="000000" w:themeColor="text1"/>
              </w:rPr>
            </w:pPr>
          </w:p>
          <w:p w:rsidR="00165759" w:rsidRDefault="00165759" w:rsidP="00C02A96">
            <w:pPr>
              <w:jc w:val="center"/>
              <w:rPr>
                <w:rFonts w:cs="Arial"/>
                <w:color w:val="000000" w:themeColor="text1"/>
              </w:rPr>
            </w:pPr>
          </w:p>
          <w:p w:rsidR="00165759" w:rsidRDefault="00165759" w:rsidP="00C02A96">
            <w:pPr>
              <w:jc w:val="center"/>
              <w:rPr>
                <w:rFonts w:cs="Arial"/>
                <w:color w:val="000000" w:themeColor="text1"/>
              </w:rPr>
            </w:pPr>
          </w:p>
          <w:p w:rsidR="00165759" w:rsidRPr="008971C4" w:rsidRDefault="00165759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Interview</w:t>
            </w:r>
          </w:p>
        </w:tc>
      </w:tr>
      <w:tr w:rsidR="008971C4" w:rsidRPr="00D57CC3" w:rsidTr="00C02A96">
        <w:trPr>
          <w:cantSplit/>
          <w:trHeight w:hRule="exact" w:val="1156"/>
        </w:trPr>
        <w:tc>
          <w:tcPr>
            <w:tcW w:w="5083" w:type="dxa"/>
            <w:shd w:val="clear" w:color="auto" w:fill="auto"/>
            <w:vAlign w:val="center"/>
          </w:tcPr>
          <w:p w:rsidR="008971C4" w:rsidRPr="008971C4" w:rsidRDefault="008971C4" w:rsidP="008971C4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Passionate about the importance of education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Form/Interview</w:t>
            </w:r>
          </w:p>
        </w:tc>
      </w:tr>
      <w:tr w:rsidR="008971C4" w:rsidRPr="00D57CC3" w:rsidTr="00C02A96">
        <w:trPr>
          <w:cantSplit/>
          <w:trHeight w:hRule="exact" w:val="1156"/>
        </w:trPr>
        <w:tc>
          <w:tcPr>
            <w:tcW w:w="5083" w:type="dxa"/>
            <w:shd w:val="clear" w:color="auto" w:fill="auto"/>
            <w:vAlign w:val="center"/>
          </w:tcPr>
          <w:p w:rsidR="008971C4" w:rsidRPr="008971C4" w:rsidRDefault="008971C4" w:rsidP="008971C4">
            <w:pPr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Self-starter who is able to manage their own work and priorities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</w:rPr>
            </w:pPr>
            <w:r w:rsidRPr="008971C4">
              <w:rPr>
                <w:rFonts w:cs="Arial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Form/Interview</w:t>
            </w:r>
          </w:p>
        </w:tc>
      </w:tr>
      <w:tr w:rsidR="005C6F6B" w:rsidRPr="00D57CC3" w:rsidTr="00C02A96">
        <w:trPr>
          <w:cantSplit/>
          <w:trHeight w:hRule="exact" w:val="553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>Able to obtain a satisfactory DBS clearance</w:t>
            </w:r>
          </w:p>
        </w:tc>
        <w:tc>
          <w:tcPr>
            <w:tcW w:w="1239" w:type="dxa"/>
            <w:shd w:val="clear" w:color="auto" w:fill="auto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DBS form</w:t>
            </w:r>
          </w:p>
        </w:tc>
      </w:tr>
      <w:tr w:rsidR="005C6F6B" w:rsidRPr="00D57CC3" w:rsidTr="00C02A96">
        <w:trPr>
          <w:cantSplit/>
          <w:trHeight w:hRule="exact" w:val="725"/>
        </w:trPr>
        <w:tc>
          <w:tcPr>
            <w:tcW w:w="5083" w:type="dxa"/>
            <w:shd w:val="clear" w:color="auto" w:fill="auto"/>
            <w:vAlign w:val="center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Eligible to work in the UK </w:t>
            </w:r>
          </w:p>
        </w:tc>
        <w:tc>
          <w:tcPr>
            <w:tcW w:w="1239" w:type="dxa"/>
            <w:shd w:val="clear" w:color="auto" w:fill="auto"/>
          </w:tcPr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C6F6B" w:rsidRPr="008971C4" w:rsidRDefault="005C6F6B" w:rsidP="00C02A96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C6F6B" w:rsidRPr="008971C4" w:rsidRDefault="005C6F6B" w:rsidP="00C02A96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Application Form</w:t>
            </w:r>
          </w:p>
        </w:tc>
      </w:tr>
      <w:tr w:rsidR="008971C4" w:rsidRPr="00D57CC3" w:rsidTr="00FB2E96">
        <w:trPr>
          <w:cantSplit/>
          <w:trHeight w:hRule="exact" w:val="725"/>
        </w:trPr>
        <w:tc>
          <w:tcPr>
            <w:tcW w:w="5083" w:type="dxa"/>
            <w:shd w:val="clear" w:color="auto" w:fill="auto"/>
          </w:tcPr>
          <w:p w:rsidR="008971C4" w:rsidRPr="008971C4" w:rsidRDefault="008971C4" w:rsidP="008971C4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8971C4">
              <w:rPr>
                <w:rFonts w:ascii="Arial" w:hAnsi="Arial" w:cs="Arial"/>
                <w:color w:val="000000" w:themeColor="text1"/>
                <w:szCs w:val="22"/>
              </w:rPr>
              <w:t xml:space="preserve">Flexible approach to working, including the ability to work evenings and weekends if required. </w:t>
            </w:r>
          </w:p>
        </w:tc>
        <w:tc>
          <w:tcPr>
            <w:tcW w:w="1239" w:type="dxa"/>
            <w:shd w:val="clear" w:color="auto" w:fill="auto"/>
          </w:tcPr>
          <w:p w:rsidR="008971C4" w:rsidRPr="008971C4" w:rsidRDefault="008971C4" w:rsidP="008971C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Cs w:val="22"/>
              </w:rPr>
            </w:pPr>
          </w:p>
          <w:p w:rsidR="008971C4" w:rsidRPr="008971C4" w:rsidRDefault="008971C4" w:rsidP="008971C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8971C4">
              <w:rPr>
                <w:rFonts w:cs="Arial"/>
                <w:color w:val="000000" w:themeColor="text1"/>
                <w:szCs w:val="22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971C4" w:rsidRPr="008971C4" w:rsidRDefault="008971C4" w:rsidP="008971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8971C4" w:rsidRPr="008971C4" w:rsidRDefault="008971C4" w:rsidP="008971C4">
            <w:pPr>
              <w:jc w:val="center"/>
              <w:rPr>
                <w:rFonts w:cs="Arial"/>
                <w:color w:val="000000" w:themeColor="text1"/>
              </w:rPr>
            </w:pPr>
            <w:r w:rsidRPr="008971C4">
              <w:rPr>
                <w:rFonts w:cs="Arial"/>
                <w:color w:val="000000" w:themeColor="text1"/>
              </w:rPr>
              <w:t>Interview</w:t>
            </w:r>
          </w:p>
        </w:tc>
      </w:tr>
    </w:tbl>
    <w:p w:rsidR="005C6F6B" w:rsidRDefault="005C6F6B" w:rsidP="00B11D36">
      <w:pPr>
        <w:rPr>
          <w:b/>
          <w:sz w:val="24"/>
          <w:szCs w:val="24"/>
        </w:rPr>
      </w:pPr>
    </w:p>
    <w:p w:rsidR="005C6F6B" w:rsidRDefault="005C6F6B" w:rsidP="00B11D36">
      <w:pPr>
        <w:rPr>
          <w:b/>
          <w:sz w:val="24"/>
          <w:szCs w:val="24"/>
        </w:rPr>
      </w:pPr>
    </w:p>
    <w:sectPr w:rsidR="005C6F6B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D537F"/>
    <w:multiLevelType w:val="hybridMultilevel"/>
    <w:tmpl w:val="DDD24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16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F361F"/>
    <w:multiLevelType w:val="hybridMultilevel"/>
    <w:tmpl w:val="DBA61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8E"/>
    <w:multiLevelType w:val="hybridMultilevel"/>
    <w:tmpl w:val="71B81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255D4"/>
    <w:rsid w:val="00082AB0"/>
    <w:rsid w:val="000B3C2D"/>
    <w:rsid w:val="000F023F"/>
    <w:rsid w:val="000F5F9B"/>
    <w:rsid w:val="00103444"/>
    <w:rsid w:val="00105866"/>
    <w:rsid w:val="00165759"/>
    <w:rsid w:val="00195373"/>
    <w:rsid w:val="001A4551"/>
    <w:rsid w:val="001B2887"/>
    <w:rsid w:val="001C756B"/>
    <w:rsid w:val="002D2055"/>
    <w:rsid w:val="002F4324"/>
    <w:rsid w:val="00306449"/>
    <w:rsid w:val="00332CA1"/>
    <w:rsid w:val="00343AB7"/>
    <w:rsid w:val="003C4711"/>
    <w:rsid w:val="004C15E8"/>
    <w:rsid w:val="005A1624"/>
    <w:rsid w:val="005A366A"/>
    <w:rsid w:val="005C6F6B"/>
    <w:rsid w:val="0067570A"/>
    <w:rsid w:val="007062F4"/>
    <w:rsid w:val="00766239"/>
    <w:rsid w:val="00772BC8"/>
    <w:rsid w:val="007C74C6"/>
    <w:rsid w:val="008971C4"/>
    <w:rsid w:val="008976CE"/>
    <w:rsid w:val="008C08F2"/>
    <w:rsid w:val="008E5803"/>
    <w:rsid w:val="00973ECD"/>
    <w:rsid w:val="009D0226"/>
    <w:rsid w:val="00A04859"/>
    <w:rsid w:val="00A2585F"/>
    <w:rsid w:val="00A32A3E"/>
    <w:rsid w:val="00A35820"/>
    <w:rsid w:val="00A905B0"/>
    <w:rsid w:val="00A949EC"/>
    <w:rsid w:val="00AA2F8B"/>
    <w:rsid w:val="00AA3558"/>
    <w:rsid w:val="00B11D36"/>
    <w:rsid w:val="00B11DFB"/>
    <w:rsid w:val="00B12A43"/>
    <w:rsid w:val="00B3703D"/>
    <w:rsid w:val="00B6218F"/>
    <w:rsid w:val="00B83A63"/>
    <w:rsid w:val="00BC1D79"/>
    <w:rsid w:val="00BD1DA9"/>
    <w:rsid w:val="00C25421"/>
    <w:rsid w:val="00C7569F"/>
    <w:rsid w:val="00C81178"/>
    <w:rsid w:val="00C817E2"/>
    <w:rsid w:val="00C911D5"/>
    <w:rsid w:val="00CA3B9A"/>
    <w:rsid w:val="00DA4CC3"/>
    <w:rsid w:val="00DF5F21"/>
    <w:rsid w:val="00E07114"/>
    <w:rsid w:val="00E903BD"/>
    <w:rsid w:val="00EA7367"/>
    <w:rsid w:val="00F450BF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EB95"/>
  <w15:docId w15:val="{5DB4D45D-E145-4BAD-8B46-1DA7881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01DF-FFD3-4763-A72F-4228012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SiRoss</dc:creator>
  <cp:lastModifiedBy>SiRoss</cp:lastModifiedBy>
  <cp:revision>3</cp:revision>
  <cp:lastPrinted>2014-02-28T14:04:00Z</cp:lastPrinted>
  <dcterms:created xsi:type="dcterms:W3CDTF">2018-05-31T10:54:00Z</dcterms:created>
  <dcterms:modified xsi:type="dcterms:W3CDTF">2018-05-31T10:57:00Z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