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Default="00473E78" w:rsidP="00473E78">
      <w:pPr>
        <w:spacing w:line="276" w:lineRule="auto"/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C51BFC">
        <w:t xml:space="preserve">General Technician </w:t>
      </w:r>
    </w:p>
    <w:p w:rsidR="00C51BFC" w:rsidRPr="00CA02FF" w:rsidRDefault="00C51BFC" w:rsidP="00473E78">
      <w:pPr>
        <w:spacing w:line="276" w:lineRule="auto"/>
        <w:rPr>
          <w:rFonts w:cs="Arial"/>
        </w:rPr>
      </w:pPr>
    </w:p>
    <w:p w:rsidR="00473E78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C51BFC" w:rsidRPr="00C95BB9">
        <w:rPr>
          <w:rFonts w:cs="Arial"/>
        </w:rPr>
        <w:t xml:space="preserve">Harmonised Salary Scale Point </w:t>
      </w:r>
      <w:r w:rsidR="00C51BFC">
        <w:rPr>
          <w:rFonts w:cs="Arial"/>
        </w:rPr>
        <w:t>10 – 11</w:t>
      </w:r>
    </w:p>
    <w:p w:rsidR="00C51BFC" w:rsidRPr="00CA02FF" w:rsidRDefault="00C51BFC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DF3FE7">
        <w:rPr>
          <w:rFonts w:cs="Arial"/>
        </w:rPr>
        <w:t>37</w:t>
      </w:r>
      <w:r w:rsidRPr="00CA02FF">
        <w:rPr>
          <w:rFonts w:cs="Arial"/>
        </w:rPr>
        <w:t xml:space="preserve"> hours per week/52 weeks per year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10051E">
        <w:rPr>
          <w:rFonts w:cs="Arial"/>
        </w:rPr>
        <w:t xml:space="preserve">Applied, Academic &amp; Service Industries 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C51BFC">
        <w:rPr>
          <w:rFonts w:cs="Arial"/>
        </w:rPr>
        <w:t>Director of Learning (DOL)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C51BFC">
        <w:rPr>
          <w:rFonts w:cs="Arial"/>
        </w:rPr>
        <w:t xml:space="preserve">Providing technical support for teaching staff and students to maintain high quality delivery of the curriculum and to support the College’s </w:t>
      </w:r>
      <w:r w:rsidR="00C51BFC" w:rsidRPr="00E62060">
        <w:rPr>
          <w:rFonts w:cs="Arial"/>
        </w:rPr>
        <w:t xml:space="preserve">vision to become </w:t>
      </w:r>
      <w:r w:rsidR="00C51BFC">
        <w:rPr>
          <w:rFonts w:cs="Arial"/>
        </w:rPr>
        <w:t xml:space="preserve">and sustain </w:t>
      </w:r>
      <w:r w:rsidR="00C51BFC" w:rsidRPr="00E62060">
        <w:rPr>
          <w:rFonts w:cs="Arial"/>
        </w:rPr>
        <w:t>outstanding</w:t>
      </w:r>
    </w:p>
    <w:p w:rsidR="00473E78" w:rsidRPr="00CA02FF" w:rsidRDefault="00473E78" w:rsidP="00473E78">
      <w:pPr>
        <w:spacing w:line="276" w:lineRule="auto"/>
        <w:ind w:left="3600" w:hanging="3600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C51BFC" w:rsidRPr="00E62060" w:rsidTr="00057371">
        <w:trPr>
          <w:trHeight w:val="300"/>
        </w:trPr>
        <w:tc>
          <w:tcPr>
            <w:tcW w:w="9322" w:type="dxa"/>
          </w:tcPr>
          <w:p w:rsidR="00C51BFC" w:rsidRPr="00E62060" w:rsidRDefault="00C51BFC" w:rsidP="00057371">
            <w:pPr>
              <w:spacing w:line="280" w:lineRule="exact"/>
              <w:rPr>
                <w:rFonts w:cs="Arial"/>
              </w:rPr>
            </w:pPr>
            <w:r w:rsidRPr="00E62060">
              <w:rPr>
                <w:rFonts w:cs="Arial"/>
              </w:rPr>
              <w:t>The post holder will:</w:t>
            </w:r>
          </w:p>
        </w:tc>
      </w:tr>
    </w:tbl>
    <w:p w:rsidR="00C51BFC" w:rsidRDefault="00C51BFC" w:rsidP="00C51BFC">
      <w:pPr>
        <w:ind w:left="2880"/>
        <w:rPr>
          <w:rFonts w:cs="Arial"/>
        </w:rPr>
      </w:pPr>
    </w:p>
    <w:p w:rsidR="00C51BFC" w:rsidRPr="00E62060" w:rsidRDefault="00C51BFC" w:rsidP="00C51BFC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Provide support in </w:t>
      </w:r>
      <w:r w:rsidR="0010051E">
        <w:rPr>
          <w:rFonts w:ascii="Arial" w:hAnsi="Arial" w:cs="Arial"/>
        </w:rPr>
        <w:t xml:space="preserve">Arts, Photography, </w:t>
      </w:r>
      <w:r w:rsidR="001D59B8">
        <w:rPr>
          <w:rFonts w:ascii="Arial" w:hAnsi="Arial" w:cs="Arial"/>
        </w:rPr>
        <w:t>Media,</w:t>
      </w:r>
      <w:r w:rsidR="0010051E">
        <w:rPr>
          <w:rFonts w:ascii="Arial" w:hAnsi="Arial" w:cs="Arial"/>
        </w:rPr>
        <w:t xml:space="preserve"> Graphics and Fashion</w:t>
      </w:r>
      <w:r>
        <w:rPr>
          <w:rFonts w:ascii="Arial" w:hAnsi="Arial" w:cs="Arial"/>
        </w:rPr>
        <w:t xml:space="preserve"> Services. However, it is expected that should priorities determine it the post holder will be expected to provide support across the College.</w:t>
      </w:r>
    </w:p>
    <w:p w:rsidR="00C51BFC" w:rsidRDefault="00C51BFC" w:rsidP="00C51BFC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Undertake evening duty when required.</w:t>
      </w:r>
    </w:p>
    <w:p w:rsidR="00C51BFC" w:rsidRPr="00E62060" w:rsidRDefault="00C51BFC" w:rsidP="00C51BFC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Provide support within the area of learning based on your vocational expertise.</w:t>
      </w:r>
    </w:p>
    <w:p w:rsidR="00C51BFC" w:rsidRPr="00E62060" w:rsidRDefault="00C51BFC" w:rsidP="00C51BFC">
      <w:pPr>
        <w:pStyle w:val="ListParagraph"/>
        <w:numPr>
          <w:ilvl w:val="0"/>
          <w:numId w:val="6"/>
        </w:numPr>
        <w:spacing w:line="280" w:lineRule="exact"/>
        <w:rPr>
          <w:rFonts w:ascii="Arial" w:hAnsi="Arial" w:cs="Arial"/>
        </w:rPr>
      </w:pPr>
      <w:r w:rsidRPr="00620F6F">
        <w:rPr>
          <w:rFonts w:ascii="Arial" w:hAnsi="Arial" w:cs="Arial"/>
        </w:rPr>
        <w:t>Strive to achieve consistently outstanding provision.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tbl>
      <w:tblPr>
        <w:tblpPr w:leftFromText="180" w:rightFromText="180" w:vertAnchor="text" w:horzAnchor="margin" w:tblpY="11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51BFC" w:rsidRPr="00D94AEF" w:rsidTr="00057371">
        <w:trPr>
          <w:trHeight w:val="674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Undertaking administrative duties for ordering, receipting and recording goods and materials within the Directorate in accordance with established procedures.</w:t>
            </w:r>
          </w:p>
        </w:tc>
      </w:tr>
      <w:tr w:rsidR="00C51BFC" w:rsidRPr="00D94AEF" w:rsidTr="00057371">
        <w:trPr>
          <w:trHeight w:val="674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Preparing teaching materials, equipment and resources for student activities and project work.</w:t>
            </w:r>
          </w:p>
        </w:tc>
      </w:tr>
      <w:tr w:rsidR="00C51BFC" w:rsidRPr="00A937BE" w:rsidTr="00057371">
        <w:trPr>
          <w:trHeight w:val="454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Distributing equipment, tools and materials to authorised staff and students.</w:t>
            </w:r>
          </w:p>
        </w:tc>
      </w:tr>
      <w:tr w:rsidR="00C51BFC" w:rsidRPr="00D94AEF" w:rsidTr="00057371">
        <w:trPr>
          <w:trHeight w:val="655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Carrying out risk assessment of processes, equipment, facilities and COSHH.</w:t>
            </w:r>
          </w:p>
        </w:tc>
      </w:tr>
      <w:tr w:rsidR="00C51BFC" w:rsidRPr="00D94AEF" w:rsidTr="00057371">
        <w:trPr>
          <w:trHeight w:val="737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Maintaining stock control for equipment and consumables and informing relevant members of staff when re-ordering is necessary.</w:t>
            </w:r>
          </w:p>
          <w:p w:rsidR="00C51BFC" w:rsidRPr="00C51BFC" w:rsidRDefault="00C51BFC" w:rsidP="00C51BFC">
            <w:pPr>
              <w:rPr>
                <w:rFonts w:cs="Arial"/>
              </w:rPr>
            </w:pPr>
          </w:p>
        </w:tc>
      </w:tr>
      <w:tr w:rsidR="00C51BFC" w:rsidRPr="00D94AEF" w:rsidTr="00057371">
        <w:trPr>
          <w:trHeight w:val="454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lastRenderedPageBreak/>
              <w:t>Checking deliveries with delivery notes and storing goods or materials delivered.</w:t>
            </w:r>
          </w:p>
        </w:tc>
      </w:tr>
      <w:tr w:rsidR="00C51BFC" w:rsidRPr="00D94AEF" w:rsidTr="00057371">
        <w:trPr>
          <w:trHeight w:val="567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Providing a high quality, professional image and environment as directed by the Director of  Learning</w:t>
            </w:r>
          </w:p>
          <w:p w:rsidR="00C51BFC" w:rsidRPr="00C51BFC" w:rsidRDefault="00C51BFC" w:rsidP="00C51BFC">
            <w:pPr>
              <w:rPr>
                <w:rFonts w:cs="Arial"/>
              </w:rPr>
            </w:pPr>
          </w:p>
        </w:tc>
      </w:tr>
      <w:tr w:rsidR="00C51BFC" w:rsidRPr="00D94AEF" w:rsidTr="00057371">
        <w:trPr>
          <w:trHeight w:val="671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Ensuring all display work is up to date, of a high quality and represents the students within the current area</w:t>
            </w:r>
          </w:p>
          <w:p w:rsidR="00C51BFC" w:rsidRPr="00C51BFC" w:rsidRDefault="00C51BFC" w:rsidP="00C51BFC">
            <w:pPr>
              <w:rPr>
                <w:rFonts w:cs="Arial"/>
              </w:rPr>
            </w:pPr>
          </w:p>
        </w:tc>
      </w:tr>
      <w:tr w:rsidR="00C51BFC" w:rsidRPr="00D94AEF" w:rsidTr="00057371">
        <w:trPr>
          <w:trHeight w:val="273"/>
        </w:trPr>
        <w:tc>
          <w:tcPr>
            <w:tcW w:w="8800" w:type="dxa"/>
          </w:tcPr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Assisting in the efficient running of the area by being aware of the duties performed by other members of the team and to help if requested.</w:t>
            </w:r>
          </w:p>
          <w:p w:rsidR="00C51BFC" w:rsidRPr="00C51BFC" w:rsidRDefault="00C51BFC" w:rsidP="00C51BFC">
            <w:pPr>
              <w:contextualSpacing/>
              <w:jc w:val="both"/>
              <w:rPr>
                <w:rFonts w:cs="Arial"/>
              </w:rPr>
            </w:pPr>
          </w:p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Providing support in other areas of the College when required.</w:t>
            </w:r>
          </w:p>
          <w:p w:rsidR="00C51BFC" w:rsidRPr="00C51BFC" w:rsidRDefault="00C51BFC" w:rsidP="00C51BFC">
            <w:pPr>
              <w:rPr>
                <w:rFonts w:cs="Arial"/>
              </w:rPr>
            </w:pPr>
          </w:p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pacing w:val="-3"/>
              </w:rPr>
            </w:pPr>
            <w:r w:rsidRPr="00C51BFC">
              <w:rPr>
                <w:rFonts w:ascii="Arial" w:hAnsi="Arial" w:cs="Arial"/>
                <w:spacing w:val="-3"/>
              </w:rPr>
              <w:t>Repairing and maintaining equipment and tools to comply with Health &amp; Safety requirements.</w:t>
            </w:r>
          </w:p>
          <w:p w:rsidR="00C51BFC" w:rsidRPr="00C51BFC" w:rsidRDefault="00C51BFC" w:rsidP="00C51BFC">
            <w:pPr>
              <w:contextualSpacing/>
              <w:jc w:val="both"/>
              <w:rPr>
                <w:rFonts w:cs="Arial"/>
                <w:spacing w:val="-3"/>
              </w:rPr>
            </w:pPr>
          </w:p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Reporting maintenance/unsafe items which cannot be rectified by the Directorate technician.</w:t>
            </w:r>
          </w:p>
          <w:p w:rsidR="00C51BFC" w:rsidRPr="00C51BFC" w:rsidRDefault="00C51BFC" w:rsidP="00C51BFC">
            <w:pPr>
              <w:contextualSpacing/>
              <w:jc w:val="both"/>
              <w:rPr>
                <w:rFonts w:cs="Arial"/>
              </w:rPr>
            </w:pPr>
          </w:p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Disposing of waste materials in line with College procedures.</w:t>
            </w:r>
          </w:p>
          <w:p w:rsidR="00C51BFC" w:rsidRPr="00C51BFC" w:rsidRDefault="00C51BFC" w:rsidP="00C51BFC">
            <w:pPr>
              <w:contextualSpacing/>
              <w:jc w:val="both"/>
              <w:rPr>
                <w:rFonts w:cs="Arial"/>
              </w:rPr>
            </w:pPr>
          </w:p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Undertaking training as required by the College in order to accommodate flexibility within the technician structure.</w:t>
            </w:r>
          </w:p>
          <w:p w:rsidR="00C51BFC" w:rsidRPr="00C51BFC" w:rsidRDefault="00C51BFC" w:rsidP="00C51BFC">
            <w:pPr>
              <w:contextualSpacing/>
              <w:jc w:val="both"/>
              <w:rPr>
                <w:rFonts w:cs="Arial"/>
              </w:rPr>
            </w:pPr>
          </w:p>
          <w:p w:rsidR="00C51BFC" w:rsidRPr="00C51BFC" w:rsidRDefault="00C51BFC" w:rsidP="00C51B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C51BFC">
              <w:rPr>
                <w:rFonts w:ascii="Arial" w:hAnsi="Arial" w:cs="Arial"/>
              </w:rPr>
              <w:t>Attending meetings and briefings to support the smooth running of the Directorate.</w:t>
            </w:r>
          </w:p>
          <w:p w:rsidR="00C51BFC" w:rsidRPr="00C51BFC" w:rsidRDefault="00C51BFC" w:rsidP="00C51BFC">
            <w:pPr>
              <w:rPr>
                <w:rFonts w:cs="Arial"/>
              </w:rPr>
            </w:pPr>
          </w:p>
        </w:tc>
      </w:tr>
    </w:tbl>
    <w:p w:rsidR="0010051E" w:rsidRDefault="0010051E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lastRenderedPageBreak/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C51BFC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General Technician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C51BFC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Engineering and Construction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C51BFC" w:rsidRPr="0021427C" w:rsidTr="00E9708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10051E">
            <w:r>
              <w:t xml:space="preserve">A nationally recognised </w:t>
            </w:r>
            <w:r w:rsidR="0010051E">
              <w:t>Art and Design</w:t>
            </w:r>
            <w:r>
              <w:t xml:space="preserve"> qualification at Level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21427C" w:rsidRDefault="00C51BFC" w:rsidP="00057371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</w:rPr>
              <w:t>Maths and English Level 2 (or equivalent) or willing to work towards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BFC" w:rsidRPr="0021427C" w:rsidRDefault="00C51BFC" w:rsidP="00057371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1BFC" w:rsidRPr="0021427C" w:rsidRDefault="00C51BFC" w:rsidP="00057371">
            <w:pPr>
              <w:spacing w:line="276" w:lineRule="auto"/>
              <w:jc w:val="center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A</w:t>
            </w:r>
          </w:p>
        </w:tc>
      </w:tr>
      <w:tr w:rsidR="00C51BFC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1BFC" w:rsidRPr="0021427C" w:rsidRDefault="00C51BFC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51BFC" w:rsidRPr="0021427C" w:rsidRDefault="00C51BFC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51BFC" w:rsidRPr="0021427C" w:rsidRDefault="00C51BFC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51BFC" w:rsidRPr="0021427C" w:rsidTr="0069054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10051E">
            <w:r>
              <w:t xml:space="preserve">Previous experience in the </w:t>
            </w:r>
            <w:r w:rsidR="0010051E">
              <w:t>Art and Design</w:t>
            </w:r>
            <w:r>
              <w:t xml:space="preserve">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69054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Care and maintenance of specialist equipment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69054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Experience in monitoring/updating mandatory Health &amp; Safety records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69054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Experience in preparation of specialist equipment for Open Days/Evening/Marketing events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69054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Experience of supporting teaching and learning in a classroom, workshop or workplace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A/I</w:t>
            </w:r>
          </w:p>
        </w:tc>
      </w:tr>
      <w:tr w:rsidR="00C51BFC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1BFC" w:rsidRPr="0021427C" w:rsidRDefault="00C51BFC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51BFC" w:rsidRPr="0021427C" w:rsidRDefault="00C51BFC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C51BFC" w:rsidRPr="0021427C" w:rsidRDefault="00C51BFC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51BFC" w:rsidRPr="0021427C" w:rsidTr="004D7BD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Good communication skills (verbal &amp; written)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4D7BD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A sound knowledge of ordering of materials and stock control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4D7BD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ICT Skills using Microsoft Office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4D7BD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Ability to work efficiently and accurately under pressure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4D7BD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 xml:space="preserve">A sound understanding of the use of established safety practices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4D7BD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10051E">
            <w:r>
              <w:t xml:space="preserve">A basic working knowledge of the </w:t>
            </w:r>
            <w:r w:rsidR="0010051E">
              <w:t>Art and Design</w:t>
            </w:r>
            <w:r>
              <w:t xml:space="preserve"> Industry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4D7BD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Ability to plan and organise the day to day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A / I</w:t>
            </w:r>
          </w:p>
        </w:tc>
      </w:tr>
      <w:tr w:rsidR="00C51BFC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1BFC" w:rsidRPr="0021427C" w:rsidRDefault="00C51BFC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1BFC" w:rsidRPr="0021427C" w:rsidRDefault="00C51BFC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1BFC" w:rsidRPr="0021427C" w:rsidRDefault="00C51BFC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Ability to interact with all level of learners and staff members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Ability to use own initiative to develop and improve the service within the constraints of the College policy and procedures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Desire to deliver outstanding performance within the directorate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Positive, can-do attitude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 xml:space="preserve">Ability to be a good team player and also work independently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Committed to delivering excellent customer service i.e. resolving issues fully, to the customer’s satisfaction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Well-presented/business like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Default="00C51BFC" w:rsidP="00057371">
            <w:r>
              <w:t>Willing to learn new systems and flexible in adopting new ways of working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7D7A10" w:rsidRDefault="00C51BFC" w:rsidP="00057371">
            <w:pPr>
              <w:jc w:val="center"/>
              <w:rPr>
                <w:b/>
              </w:rPr>
            </w:pPr>
            <w:r w:rsidRPr="007D7A10">
              <w:rPr>
                <w:b/>
              </w:rPr>
              <w:t>I</w:t>
            </w:r>
          </w:p>
        </w:tc>
      </w:tr>
      <w:tr w:rsidR="00C51BFC" w:rsidRPr="0021427C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1BFC" w:rsidRPr="0021427C" w:rsidRDefault="00C51BFC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1BFC" w:rsidRPr="0021427C" w:rsidRDefault="00C51BFC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C51BFC" w:rsidRPr="0021427C" w:rsidRDefault="00C51BFC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21427C" w:rsidRDefault="00C51BFC" w:rsidP="00057371">
            <w:pPr>
              <w:rPr>
                <w:rFonts w:cs="Arial"/>
                <w:b/>
              </w:rPr>
            </w:pPr>
            <w:r w:rsidRPr="0021427C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21427C" w:rsidRDefault="00C51BFC" w:rsidP="00057371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21427C" w:rsidRDefault="00C51BFC" w:rsidP="00057371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A/I</w:t>
            </w:r>
          </w:p>
        </w:tc>
      </w:tr>
      <w:tr w:rsidR="00C51BFC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21427C" w:rsidRDefault="00C51BFC" w:rsidP="00057371">
            <w:pPr>
              <w:rPr>
                <w:rFonts w:cs="Arial"/>
              </w:rPr>
            </w:pPr>
            <w:r w:rsidRPr="0021427C">
              <w:rPr>
                <w:rFonts w:cs="Arial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21427C" w:rsidRDefault="00C51BFC" w:rsidP="00057371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FC" w:rsidRPr="0021427C" w:rsidRDefault="00C51BFC" w:rsidP="00057371">
            <w:pPr>
              <w:jc w:val="center"/>
              <w:rPr>
                <w:rFonts w:cs="Arial"/>
                <w:b/>
                <w:bCs/>
              </w:rPr>
            </w:pPr>
            <w:r w:rsidRPr="0021427C">
              <w:rPr>
                <w:rFonts w:cs="Arial"/>
                <w:b/>
                <w:bCs/>
              </w:rPr>
              <w:t>A/I</w:t>
            </w:r>
          </w:p>
        </w:tc>
      </w:tr>
    </w:tbl>
    <w:p w:rsidR="00620511" w:rsidRDefault="00620511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20511">
        <w:rPr>
          <w:rFonts w:cs="Arial"/>
          <w:b/>
        </w:rPr>
        <w:t xml:space="preserve">  </w:t>
      </w:r>
      <w:r w:rsidR="00620511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20511" w:rsidRPr="0021427C" w:rsidRDefault="00620511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080945" w:rsidP="00C51BFC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Smith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080945" w:rsidP="00FB20D7">
            <w:pPr>
              <w:rPr>
                <w:rFonts w:cs="Arial"/>
              </w:rPr>
            </w:pPr>
            <w:r>
              <w:rPr>
                <w:rFonts w:cs="Arial"/>
              </w:rPr>
              <w:t>28/11/2018</w:t>
            </w:r>
            <w:bookmarkStart w:id="0" w:name="_GoBack"/>
            <w:bookmarkEnd w:id="0"/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8"/>
      <w:headerReference w:type="first" r:id="rId9"/>
      <w:footerReference w:type="first" r:id="rId10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12" w:rsidRDefault="00674312" w:rsidP="00222D8D">
      <w:r>
        <w:separator/>
      </w:r>
    </w:p>
  </w:endnote>
  <w:endnote w:type="continuationSeparator" w:id="0">
    <w:p w:rsidR="00674312" w:rsidRDefault="0067431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51BFC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 – Jan 18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80945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80945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C51BFC">
              <w:rPr>
                <w:sz w:val="18"/>
                <w:szCs w:val="18"/>
              </w:rPr>
              <w:t>NW – Jan 18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80945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080945">
              <w:rPr>
                <w:b/>
                <w:bCs/>
                <w:noProof/>
                <w:sz w:val="18"/>
                <w:szCs w:val="18"/>
              </w:rPr>
              <w:t>3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12" w:rsidRDefault="00674312" w:rsidP="00222D8D">
      <w:r>
        <w:separator/>
      </w:r>
    </w:p>
  </w:footnote>
  <w:footnote w:type="continuationSeparator" w:id="0">
    <w:p w:rsidR="00674312" w:rsidRDefault="0067431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57E"/>
    <w:multiLevelType w:val="hybridMultilevel"/>
    <w:tmpl w:val="50540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3"/>
    <w:rsid w:val="0005019B"/>
    <w:rsid w:val="000550F4"/>
    <w:rsid w:val="00077D15"/>
    <w:rsid w:val="00080945"/>
    <w:rsid w:val="000B1F2A"/>
    <w:rsid w:val="000C3063"/>
    <w:rsid w:val="000E1DAE"/>
    <w:rsid w:val="000E3682"/>
    <w:rsid w:val="0010051E"/>
    <w:rsid w:val="00112138"/>
    <w:rsid w:val="00117829"/>
    <w:rsid w:val="00147E97"/>
    <w:rsid w:val="001552AF"/>
    <w:rsid w:val="001561A4"/>
    <w:rsid w:val="001A6FEA"/>
    <w:rsid w:val="001B052A"/>
    <w:rsid w:val="001D59B8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74312"/>
    <w:rsid w:val="006C5120"/>
    <w:rsid w:val="006F6CA4"/>
    <w:rsid w:val="007158E2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34046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7558B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51BFC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DF3FE7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CB2101"/>
  <w15:docId w15:val="{F5D70830-C9AA-40F2-965E-F9D7ECAE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BFE48FE-CD27-4B72-91D6-AFCC8BB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Lawson, Hannah</cp:lastModifiedBy>
  <cp:revision>2</cp:revision>
  <cp:lastPrinted>2015-06-25T09:46:00Z</cp:lastPrinted>
  <dcterms:created xsi:type="dcterms:W3CDTF">2018-11-28T14:42:00Z</dcterms:created>
  <dcterms:modified xsi:type="dcterms:W3CDTF">2018-11-28T14:42:00Z</dcterms:modified>
</cp:coreProperties>
</file>