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35"/>
        <w:gridCol w:w="2712"/>
        <w:gridCol w:w="3969"/>
      </w:tblGrid>
      <w:tr w:rsidR="001828FE" w:rsidTr="009F6AD7">
        <w:tc>
          <w:tcPr>
            <w:tcW w:w="5047" w:type="dxa"/>
            <w:gridSpan w:val="2"/>
            <w:shd w:val="clear" w:color="auto" w:fill="FFFF00"/>
            <w:vAlign w:val="center"/>
          </w:tcPr>
          <w:p w:rsidR="001828FE" w:rsidRPr="001828FE" w:rsidRDefault="00857663" w:rsidP="007707B6">
            <w:pPr>
              <w:jc w:val="center"/>
              <w:rPr>
                <w:b/>
                <w:sz w:val="32"/>
              </w:rPr>
            </w:pPr>
            <w:r>
              <w:rPr>
                <w:b/>
                <w:sz w:val="32"/>
              </w:rPr>
              <w:t>Information, Advice &amp; Guidance (</w:t>
            </w:r>
            <w:r w:rsidR="005D308E" w:rsidRPr="002C4353">
              <w:rPr>
                <w:b/>
                <w:sz w:val="32"/>
              </w:rPr>
              <w:t>IAG</w:t>
            </w:r>
            <w:r>
              <w:rPr>
                <w:b/>
                <w:sz w:val="32"/>
              </w:rPr>
              <w:t>)</w:t>
            </w:r>
            <w:bookmarkStart w:id="0" w:name="_GoBack"/>
            <w:bookmarkEnd w:id="0"/>
            <w:r w:rsidR="00E21BA7">
              <w:rPr>
                <w:b/>
                <w:sz w:val="32"/>
              </w:rPr>
              <w:t xml:space="preserve"> </w:t>
            </w:r>
            <w:r w:rsidR="005D308E" w:rsidRPr="002C4353">
              <w:rPr>
                <w:b/>
                <w:sz w:val="32"/>
              </w:rPr>
              <w:t>Manager</w:t>
            </w:r>
            <w:r w:rsidR="001828FE" w:rsidRPr="002C4353">
              <w:rPr>
                <w:b/>
                <w:sz w:val="32"/>
              </w:rPr>
              <w:t xml:space="preserve"> </w:t>
            </w:r>
          </w:p>
        </w:tc>
        <w:tc>
          <w:tcPr>
            <w:tcW w:w="3969" w:type="dxa"/>
            <w:vMerge w:val="restart"/>
          </w:tcPr>
          <w:p w:rsidR="001828FE" w:rsidRDefault="00022495" w:rsidP="00022495">
            <w:pPr>
              <w:jc w:val="center"/>
              <w:rPr>
                <w:rFonts w:ascii="Arial Narrow" w:hAnsi="Arial Narrow"/>
                <w:noProof/>
                <w:lang w:eastAsia="en-GB"/>
              </w:rPr>
            </w:pPr>
            <w:r>
              <w:rPr>
                <w:noProof/>
                <w:lang w:eastAsia="en-GB"/>
              </w:rPr>
              <w:drawing>
                <wp:inline distT="0" distB="0" distL="0" distR="0" wp14:anchorId="0DCC2B47" wp14:editId="6CA50E65">
                  <wp:extent cx="1371600" cy="1371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r>
      <w:tr w:rsidR="001828FE" w:rsidTr="009F6AD7">
        <w:tc>
          <w:tcPr>
            <w:tcW w:w="5047" w:type="dxa"/>
            <w:gridSpan w:val="2"/>
            <w:shd w:val="clear" w:color="auto" w:fill="FFFF00"/>
            <w:vAlign w:val="center"/>
          </w:tcPr>
          <w:p w:rsidR="001828FE" w:rsidRDefault="001828FE" w:rsidP="007707B6">
            <w:pPr>
              <w:jc w:val="center"/>
              <w:rPr>
                <w:b/>
              </w:rPr>
            </w:pPr>
          </w:p>
          <w:p w:rsidR="001828FE" w:rsidRDefault="001828FE" w:rsidP="007707B6">
            <w:pPr>
              <w:jc w:val="center"/>
              <w:rPr>
                <w:b/>
              </w:rPr>
            </w:pPr>
            <w:r>
              <w:rPr>
                <w:b/>
              </w:rPr>
              <w:t xml:space="preserve">MANAGEMENT, PROFESSIONAL &amp; SPECIALIST FAMILY </w:t>
            </w:r>
          </w:p>
          <w:p w:rsidR="001828FE" w:rsidRPr="00584F0F" w:rsidRDefault="001828FE" w:rsidP="007707B6">
            <w:pPr>
              <w:jc w:val="center"/>
              <w:rPr>
                <w:b/>
              </w:rPr>
            </w:pPr>
          </w:p>
        </w:tc>
        <w:tc>
          <w:tcPr>
            <w:tcW w:w="3969" w:type="dxa"/>
            <w:vMerge/>
          </w:tcPr>
          <w:p w:rsidR="001828FE" w:rsidRDefault="001828FE" w:rsidP="007707B6"/>
        </w:tc>
      </w:tr>
      <w:tr w:rsidR="001828FE" w:rsidTr="009F6AD7">
        <w:tc>
          <w:tcPr>
            <w:tcW w:w="2335" w:type="dxa"/>
            <w:shd w:val="clear" w:color="auto" w:fill="FFFF00"/>
            <w:vAlign w:val="center"/>
          </w:tcPr>
          <w:p w:rsidR="001828FE" w:rsidRPr="00D75D1C" w:rsidRDefault="001828FE" w:rsidP="007707B6">
            <w:pPr>
              <w:jc w:val="center"/>
              <w:rPr>
                <w:b/>
                <w:sz w:val="56"/>
                <w:szCs w:val="56"/>
              </w:rPr>
            </w:pPr>
            <w:r w:rsidRPr="00D75D1C">
              <w:rPr>
                <w:b/>
                <w:sz w:val="56"/>
                <w:szCs w:val="56"/>
              </w:rPr>
              <w:t>LEVEL</w:t>
            </w:r>
          </w:p>
        </w:tc>
        <w:tc>
          <w:tcPr>
            <w:tcW w:w="2712" w:type="dxa"/>
            <w:shd w:val="clear" w:color="auto" w:fill="FFFF00"/>
            <w:vAlign w:val="center"/>
          </w:tcPr>
          <w:p w:rsidR="001828FE" w:rsidRPr="000159D0" w:rsidRDefault="001828FE" w:rsidP="007707B6">
            <w:pPr>
              <w:jc w:val="center"/>
              <w:rPr>
                <w:b/>
                <w:sz w:val="56"/>
                <w:szCs w:val="56"/>
              </w:rPr>
            </w:pPr>
            <w:r>
              <w:rPr>
                <w:b/>
                <w:sz w:val="56"/>
                <w:szCs w:val="56"/>
              </w:rPr>
              <w:t>MPS1</w:t>
            </w:r>
          </w:p>
        </w:tc>
        <w:tc>
          <w:tcPr>
            <w:tcW w:w="3969" w:type="dxa"/>
            <w:vMerge/>
          </w:tcPr>
          <w:p w:rsidR="001828FE" w:rsidRDefault="001828FE" w:rsidP="007707B6"/>
        </w:tc>
      </w:tr>
      <w:tr w:rsidR="00152A9C" w:rsidTr="009F6AD7">
        <w:tc>
          <w:tcPr>
            <w:tcW w:w="9016" w:type="dxa"/>
            <w:gridSpan w:val="3"/>
            <w:tcBorders>
              <w:bottom w:val="single" w:sz="4" w:space="0" w:color="auto"/>
            </w:tcBorders>
          </w:tcPr>
          <w:p w:rsidR="00152A9C" w:rsidRDefault="009F6AD7" w:rsidP="007707B6">
            <w:pPr>
              <w:rPr>
                <w:b/>
              </w:rPr>
            </w:pPr>
            <w:r>
              <w:rPr>
                <w:b/>
              </w:rPr>
              <w:t>SHAPE DESCRIPTOR</w:t>
            </w:r>
          </w:p>
          <w:p w:rsidR="00FD3961" w:rsidRDefault="00FD3961" w:rsidP="007707B6">
            <w:pPr>
              <w:rPr>
                <w:b/>
              </w:rPr>
            </w:pPr>
          </w:p>
          <w:p w:rsidR="00FD3961" w:rsidRPr="002C4353" w:rsidRDefault="009F6AD7" w:rsidP="00FD3961">
            <w:pPr>
              <w:rPr>
                <w:rFonts w:eastAsia="Calibri" w:cs="Arial"/>
              </w:rPr>
            </w:pPr>
            <w:r w:rsidRPr="009F6AD7">
              <w:t>The role holder will have skills to</w:t>
            </w:r>
            <w:r>
              <w:rPr>
                <w:b/>
              </w:rPr>
              <w:t xml:space="preserve"> </w:t>
            </w:r>
            <w:r>
              <w:rPr>
                <w:rFonts w:cstheme="minorHAnsi"/>
              </w:rPr>
              <w:t>l</w:t>
            </w:r>
            <w:r w:rsidR="00073604" w:rsidRPr="009F6AD7">
              <w:rPr>
                <w:rFonts w:cstheme="minorHAnsi"/>
              </w:rPr>
              <w:t xml:space="preserve">ead the development and implementation of </w:t>
            </w:r>
            <w:r w:rsidR="0028171E" w:rsidRPr="009F6AD7">
              <w:rPr>
                <w:rFonts w:cstheme="minorHAnsi"/>
              </w:rPr>
              <w:t>a comprehensive IAG strategy</w:t>
            </w:r>
            <w:r w:rsidR="005D308E" w:rsidRPr="009F6AD7">
              <w:rPr>
                <w:rFonts w:cstheme="minorHAnsi"/>
              </w:rPr>
              <w:t xml:space="preserve">. </w:t>
            </w:r>
            <w:r>
              <w:t xml:space="preserve"> Professionally qualified </w:t>
            </w:r>
            <w:r w:rsidR="00304208">
              <w:t xml:space="preserve">to L6 Careers Advice </w:t>
            </w:r>
            <w:r>
              <w:t>they must be able to i</w:t>
            </w:r>
            <w:r w:rsidR="0028171E">
              <w:t>nterpret National policy,</w:t>
            </w:r>
            <w:r w:rsidR="005C7211" w:rsidRPr="002C4353">
              <w:t xml:space="preserve"> </w:t>
            </w:r>
            <w:r w:rsidR="0028171E">
              <w:t>ensuring</w:t>
            </w:r>
            <w:r w:rsidR="005C7211" w:rsidRPr="002C4353">
              <w:t xml:space="preserve"> t</w:t>
            </w:r>
            <w:r>
              <w:t>he College service reflects</w:t>
            </w:r>
            <w:r w:rsidR="00FD3961">
              <w:t xml:space="preserve"> and implements</w:t>
            </w:r>
            <w:r>
              <w:t xml:space="preserve"> the development opportunities that arise from this</w:t>
            </w:r>
            <w:r w:rsidR="005C7211" w:rsidRPr="002C4353">
              <w:t>.</w:t>
            </w:r>
            <w:r w:rsidR="00FD3961">
              <w:rPr>
                <w:rFonts w:eastAsia="Calibri" w:cs="Arial"/>
              </w:rPr>
              <w:t xml:space="preserve"> Part of this role will be to develop</w:t>
            </w:r>
            <w:r w:rsidR="00FD3961" w:rsidRPr="002C4353">
              <w:rPr>
                <w:rFonts w:eastAsia="Calibri" w:cs="Arial"/>
              </w:rPr>
              <w:t xml:space="preserve"> relationships with relevant external agencies and partners</w:t>
            </w:r>
            <w:r w:rsidR="00FD3961">
              <w:rPr>
                <w:rFonts w:eastAsia="Calibri" w:cs="Arial"/>
              </w:rPr>
              <w:t xml:space="preserve"> which enhance the College’s</w:t>
            </w:r>
            <w:r w:rsidR="00FD3961" w:rsidRPr="002C4353">
              <w:rPr>
                <w:rFonts w:eastAsia="Calibri" w:cs="Arial"/>
              </w:rPr>
              <w:t xml:space="preserve"> IAG service.</w:t>
            </w:r>
          </w:p>
          <w:p w:rsidR="009F6AD7" w:rsidRDefault="009F6AD7" w:rsidP="009F6AD7">
            <w:pPr>
              <w:rPr>
                <w:rFonts w:cstheme="minorHAnsi"/>
              </w:rPr>
            </w:pPr>
          </w:p>
          <w:p w:rsidR="00073604" w:rsidRDefault="00AD71F4" w:rsidP="009F6AD7">
            <w:pPr>
              <w:rPr>
                <w:rFonts w:cstheme="minorHAnsi"/>
              </w:rPr>
            </w:pPr>
            <w:r w:rsidRPr="009F6AD7">
              <w:rPr>
                <w:rFonts w:cstheme="minorHAnsi"/>
              </w:rPr>
              <w:t>D</w:t>
            </w:r>
            <w:r w:rsidR="007707B6" w:rsidRPr="009F6AD7">
              <w:rPr>
                <w:rFonts w:cstheme="minorHAnsi"/>
              </w:rPr>
              <w:t xml:space="preserve">evelop, </w:t>
            </w:r>
            <w:r w:rsidR="00073604" w:rsidRPr="009F6AD7">
              <w:rPr>
                <w:rFonts w:cstheme="minorHAnsi"/>
              </w:rPr>
              <w:t xml:space="preserve">deliver </w:t>
            </w:r>
            <w:r w:rsidR="007707B6" w:rsidRPr="009F6AD7">
              <w:rPr>
                <w:rFonts w:cstheme="minorHAnsi"/>
              </w:rPr>
              <w:t xml:space="preserve">and embed </w:t>
            </w:r>
            <w:r w:rsidR="00073604" w:rsidRPr="009F6AD7">
              <w:rPr>
                <w:rFonts w:cstheme="minorHAnsi"/>
              </w:rPr>
              <w:t xml:space="preserve">a comprehensive </w:t>
            </w:r>
            <w:r w:rsidR="005D308E" w:rsidRPr="009F6AD7">
              <w:rPr>
                <w:rFonts w:cstheme="minorHAnsi"/>
              </w:rPr>
              <w:t xml:space="preserve">IAG service </w:t>
            </w:r>
            <w:r w:rsidR="00073604" w:rsidRPr="009F6AD7">
              <w:rPr>
                <w:rFonts w:cstheme="minorHAnsi"/>
              </w:rPr>
              <w:t>throughout the student journey which maximises progression opportunities</w:t>
            </w:r>
            <w:r w:rsidR="00FD3961">
              <w:rPr>
                <w:rFonts w:cstheme="minorHAnsi"/>
              </w:rPr>
              <w:t xml:space="preserve"> and positive destinations, including engaging with L4 and above college courses to strengthen internal progression. </w:t>
            </w:r>
            <w:r w:rsidR="009F6AD7">
              <w:rPr>
                <w:rFonts w:cstheme="minorHAnsi"/>
              </w:rPr>
              <w:t>This will involve strong collaborative working with the Recruitment, Engagement and Progression Manager</w:t>
            </w:r>
            <w:r w:rsidR="00FD3961">
              <w:rPr>
                <w:rFonts w:cstheme="minorHAnsi"/>
              </w:rPr>
              <w:t xml:space="preserve"> and the Learner Recruitment team</w:t>
            </w:r>
            <w:r w:rsidR="009F6AD7">
              <w:rPr>
                <w:rFonts w:cstheme="minorHAnsi"/>
              </w:rPr>
              <w:t>.</w:t>
            </w:r>
          </w:p>
          <w:p w:rsidR="009F6AD7" w:rsidRPr="009F6AD7" w:rsidRDefault="009F6AD7" w:rsidP="009F6AD7">
            <w:pPr>
              <w:rPr>
                <w:rFonts w:cstheme="minorHAnsi"/>
              </w:rPr>
            </w:pPr>
          </w:p>
          <w:p w:rsidR="005D308E" w:rsidRPr="009F6AD7" w:rsidRDefault="009F6AD7" w:rsidP="009F6AD7">
            <w:pPr>
              <w:rPr>
                <w:rFonts w:cstheme="minorHAnsi"/>
              </w:rPr>
            </w:pPr>
            <w:r>
              <w:rPr>
                <w:rFonts w:cstheme="minorHAnsi"/>
              </w:rPr>
              <w:t xml:space="preserve">The role holder </w:t>
            </w:r>
            <w:r w:rsidR="00FD3961">
              <w:rPr>
                <w:rFonts w:cstheme="minorHAnsi"/>
              </w:rPr>
              <w:t>will l</w:t>
            </w:r>
            <w:r w:rsidR="009A69D7" w:rsidRPr="009F6AD7">
              <w:rPr>
                <w:rFonts w:cstheme="minorHAnsi"/>
              </w:rPr>
              <w:t>ead on the delivery of careers education</w:t>
            </w:r>
            <w:r w:rsidR="009D03CD" w:rsidRPr="009F6AD7">
              <w:rPr>
                <w:rFonts w:cstheme="minorHAnsi"/>
              </w:rPr>
              <w:t>, ensuring the prov</w:t>
            </w:r>
            <w:r w:rsidR="00FD3961">
              <w:rPr>
                <w:rFonts w:cstheme="minorHAnsi"/>
              </w:rPr>
              <w:t xml:space="preserve">ision of high quality resources and be able to </w:t>
            </w:r>
            <w:r w:rsidR="009A69D7" w:rsidRPr="009F6AD7">
              <w:rPr>
                <w:rFonts w:cstheme="minorHAnsi"/>
              </w:rPr>
              <w:t>empower staff to provide support to</w:t>
            </w:r>
            <w:r w:rsidR="005D308E" w:rsidRPr="009F6AD7">
              <w:rPr>
                <w:rFonts w:cstheme="minorHAnsi"/>
              </w:rPr>
              <w:t xml:space="preserve"> prospective and current students by provi</w:t>
            </w:r>
            <w:r w:rsidR="009A69D7" w:rsidRPr="009F6AD7">
              <w:rPr>
                <w:rFonts w:cstheme="minorHAnsi"/>
              </w:rPr>
              <w:t>din</w:t>
            </w:r>
            <w:r w:rsidR="00FD3961">
              <w:rPr>
                <w:rFonts w:cstheme="minorHAnsi"/>
              </w:rPr>
              <w:t xml:space="preserve">g comprehensive information and </w:t>
            </w:r>
            <w:r w:rsidR="009A69D7" w:rsidRPr="009F6AD7">
              <w:rPr>
                <w:rFonts w:cstheme="minorHAnsi"/>
              </w:rPr>
              <w:t>advice</w:t>
            </w:r>
            <w:r w:rsidR="00AD71F4" w:rsidRPr="009F6AD7">
              <w:rPr>
                <w:rFonts w:cstheme="minorHAnsi"/>
              </w:rPr>
              <w:t>.</w:t>
            </w:r>
          </w:p>
          <w:p w:rsidR="00FD3961" w:rsidRDefault="00FD3961" w:rsidP="00FD3961">
            <w:pPr>
              <w:rPr>
                <w:rFonts w:cstheme="minorHAnsi"/>
              </w:rPr>
            </w:pPr>
          </w:p>
          <w:p w:rsidR="005D308E" w:rsidRPr="00FD3961" w:rsidRDefault="00FD3961" w:rsidP="00FD3961">
            <w:pPr>
              <w:rPr>
                <w:rFonts w:cstheme="minorHAnsi"/>
              </w:rPr>
            </w:pPr>
            <w:r>
              <w:rPr>
                <w:rFonts w:cstheme="minorHAnsi"/>
              </w:rPr>
              <w:t>The role will be based at a particular campus but will be expected to w</w:t>
            </w:r>
            <w:r w:rsidR="005D308E" w:rsidRPr="00FD3961">
              <w:rPr>
                <w:rFonts w:cstheme="minorHAnsi"/>
              </w:rPr>
              <w:t xml:space="preserve">ork with colleagues across the College to embed systems and processes which monitor the effectiveness </w:t>
            </w:r>
            <w:r>
              <w:rPr>
                <w:rFonts w:cstheme="minorHAnsi"/>
              </w:rPr>
              <w:t xml:space="preserve">and improves the quality </w:t>
            </w:r>
            <w:r w:rsidR="005D308E" w:rsidRPr="00FD3961">
              <w:rPr>
                <w:rFonts w:cstheme="minorHAnsi"/>
              </w:rPr>
              <w:t>of the IAG</w:t>
            </w:r>
            <w:r w:rsidR="00AD71F4" w:rsidRPr="00FD3961">
              <w:rPr>
                <w:rFonts w:cstheme="minorHAnsi"/>
              </w:rPr>
              <w:t xml:space="preserve"> service</w:t>
            </w:r>
            <w:r>
              <w:rPr>
                <w:rFonts w:cstheme="minorHAnsi"/>
              </w:rPr>
              <w:t xml:space="preserve"> throughout the student journey</w:t>
            </w:r>
            <w:r w:rsidR="00AD71F4" w:rsidRPr="00FD3961">
              <w:rPr>
                <w:rFonts w:cstheme="minorHAnsi"/>
              </w:rPr>
              <w:t>.</w:t>
            </w:r>
          </w:p>
          <w:p w:rsidR="00FD3961" w:rsidRDefault="00FD3961" w:rsidP="00FD3961"/>
          <w:p w:rsidR="00AD71F4" w:rsidRDefault="00FD3961" w:rsidP="00FD3961">
            <w:r>
              <w:t>The role holder will d</w:t>
            </w:r>
            <w:r w:rsidR="00AD71F4" w:rsidRPr="002C4353">
              <w:t>eliver IAG sessions to in</w:t>
            </w:r>
            <w:r w:rsidR="009A69D7">
              <w:t>dividuals and groups</w:t>
            </w:r>
            <w:r w:rsidR="00167218">
              <w:t xml:space="preserve"> and provide activities/external agencies contacts to contribute to Progression Week.</w:t>
            </w:r>
          </w:p>
          <w:p w:rsidR="00FD3961" w:rsidRPr="002C4353" w:rsidRDefault="00FD3961" w:rsidP="00FD3961">
            <w:pPr>
              <w:rPr>
                <w:rFonts w:eastAsia="Calibri" w:cs="Arial"/>
              </w:rPr>
            </w:pPr>
          </w:p>
          <w:p w:rsidR="005D308E" w:rsidRPr="002C4353" w:rsidRDefault="00FD3961" w:rsidP="00FD3961">
            <w:pPr>
              <w:rPr>
                <w:rFonts w:eastAsia="Calibri" w:cs="Arial"/>
              </w:rPr>
            </w:pPr>
            <w:r>
              <w:rPr>
                <w:rFonts w:eastAsia="Calibri" w:cs="Arial"/>
              </w:rPr>
              <w:t>She/he will d</w:t>
            </w:r>
            <w:r w:rsidR="005D308E" w:rsidRPr="002C4353">
              <w:rPr>
                <w:rFonts w:eastAsia="Calibri" w:cs="Arial"/>
              </w:rPr>
              <w:t xml:space="preserve">evelop and implement strategies which improves </w:t>
            </w:r>
            <w:r w:rsidR="009A69D7">
              <w:rPr>
                <w:rFonts w:eastAsia="Calibri" w:cs="Arial"/>
              </w:rPr>
              <w:t xml:space="preserve">and monitors </w:t>
            </w:r>
            <w:r w:rsidR="005D308E" w:rsidRPr="002C4353">
              <w:rPr>
                <w:rFonts w:eastAsia="Calibri" w:cs="Arial"/>
              </w:rPr>
              <w:t>the quality of IAG across student facing roles within the College</w:t>
            </w:r>
            <w:r w:rsidR="009A69D7">
              <w:rPr>
                <w:rFonts w:eastAsia="Calibri" w:cs="Arial"/>
              </w:rPr>
              <w:t>, providing training as appropriate</w:t>
            </w:r>
            <w:r w:rsidR="005D308E" w:rsidRPr="002C4353">
              <w:rPr>
                <w:rFonts w:eastAsia="Calibri" w:cs="Arial"/>
              </w:rPr>
              <w:t xml:space="preserve">. </w:t>
            </w:r>
          </w:p>
          <w:p w:rsidR="00152A9C" w:rsidRDefault="00152A9C" w:rsidP="00FD3961">
            <w:pPr>
              <w:rPr>
                <w:b/>
              </w:rPr>
            </w:pPr>
          </w:p>
        </w:tc>
      </w:tr>
      <w:tr w:rsidR="009F6AD7" w:rsidTr="009F6AD7">
        <w:tc>
          <w:tcPr>
            <w:tcW w:w="9016" w:type="dxa"/>
            <w:gridSpan w:val="3"/>
            <w:tcBorders>
              <w:bottom w:val="single" w:sz="4" w:space="0" w:color="auto"/>
            </w:tcBorders>
          </w:tcPr>
          <w:p w:rsidR="009F6AD7" w:rsidRDefault="009F6AD7" w:rsidP="009F6AD7">
            <w:pPr>
              <w:rPr>
                <w:b/>
              </w:rPr>
            </w:pPr>
            <w:r>
              <w:rPr>
                <w:b/>
              </w:rPr>
              <w:t>LEVEL SUMMARY</w:t>
            </w:r>
          </w:p>
          <w:p w:rsidR="009F6AD7" w:rsidRDefault="009F6AD7" w:rsidP="009F6AD7">
            <w:r w:rsidRPr="0073380A">
              <w:t>Role holders</w:t>
            </w:r>
            <w:r>
              <w:t xml:space="preserve"> are likely to be professionally qualified and</w:t>
            </w:r>
            <w:r w:rsidRPr="0073380A">
              <w:t xml:space="preserve"> will have broad knowle</w:t>
            </w:r>
            <w:r>
              <w:t>dge of their area and the application of this in the further</w:t>
            </w:r>
            <w:r w:rsidRPr="0073380A">
              <w:t xml:space="preserve"> education environment</w:t>
            </w:r>
            <w:r>
              <w:t>.</w:t>
            </w:r>
            <w:r w:rsidRPr="0073380A">
              <w:t xml:space="preserve"> </w:t>
            </w:r>
          </w:p>
          <w:p w:rsidR="009F6AD7" w:rsidRDefault="009F6AD7" w:rsidP="009F6AD7">
            <w:r w:rsidRPr="0073380A">
              <w:t xml:space="preserve">They will provide professional, specialist or high level technical advice, direction and input across a range of activities. </w:t>
            </w:r>
          </w:p>
          <w:p w:rsidR="009F6AD7" w:rsidRDefault="009F6AD7" w:rsidP="009F6AD7">
            <w:r w:rsidRPr="0073380A">
              <w:t xml:space="preserve">They will contribute to the development of new systems and procedures and will understand the professional, legal and/or regulatory requirements of the environment in which they work. </w:t>
            </w:r>
          </w:p>
          <w:p w:rsidR="009F6AD7" w:rsidRDefault="009F6AD7" w:rsidP="009F6AD7">
            <w:r w:rsidRPr="0073380A">
              <w:t>They may lead a team permanently or in project activity and will typically be accountable for the quality of service delivery in their own practice or immediate area of responsibility. They will have professional autonomy and discretion within operational policies and precedents.</w:t>
            </w:r>
          </w:p>
          <w:p w:rsidR="009F6AD7" w:rsidRPr="005D308E" w:rsidRDefault="009F6AD7" w:rsidP="007707B6">
            <w:pPr>
              <w:rPr>
                <w:b/>
              </w:rPr>
            </w:pPr>
          </w:p>
        </w:tc>
      </w:tr>
      <w:tr w:rsidR="00767B67" w:rsidRPr="005B4D2A" w:rsidTr="009F6AD7">
        <w:tc>
          <w:tcPr>
            <w:tcW w:w="9016" w:type="dxa"/>
            <w:gridSpan w:val="3"/>
            <w:shd w:val="clear" w:color="auto" w:fill="DBE5F1" w:themeFill="accent1" w:themeFillTint="33"/>
          </w:tcPr>
          <w:p w:rsidR="00767B67" w:rsidRDefault="00767B67" w:rsidP="007707B6">
            <w:pPr>
              <w:rPr>
                <w:b/>
              </w:rPr>
            </w:pPr>
            <w:r>
              <w:rPr>
                <w:b/>
              </w:rPr>
              <w:t>REPRESENTATIVE WORK ACTIVITIES</w:t>
            </w:r>
          </w:p>
          <w:p w:rsidR="00767B67" w:rsidRPr="005B4D2A" w:rsidRDefault="00767B67" w:rsidP="007707B6">
            <w:pPr>
              <w:rPr>
                <w:b/>
              </w:rPr>
            </w:pPr>
          </w:p>
        </w:tc>
      </w:tr>
      <w:tr w:rsidR="00767B67" w:rsidTr="009F6AD7">
        <w:tc>
          <w:tcPr>
            <w:tcW w:w="2335" w:type="dxa"/>
            <w:shd w:val="clear" w:color="auto" w:fill="DBE5F1" w:themeFill="accent1" w:themeFillTint="33"/>
          </w:tcPr>
          <w:p w:rsidR="00767B67" w:rsidRDefault="00767B67" w:rsidP="007707B6">
            <w:r>
              <w:t xml:space="preserve">Provision of Management, Professional or Specialist Level activities. </w:t>
            </w:r>
          </w:p>
        </w:tc>
        <w:tc>
          <w:tcPr>
            <w:tcW w:w="6681" w:type="dxa"/>
            <w:gridSpan w:val="2"/>
            <w:shd w:val="clear" w:color="auto" w:fill="DBE5F1" w:themeFill="accent1" w:themeFillTint="33"/>
          </w:tcPr>
          <w:p w:rsidR="00767B67" w:rsidRDefault="00767B67" w:rsidP="00767B67">
            <w:pPr>
              <w:pStyle w:val="ListParagraph"/>
              <w:numPr>
                <w:ilvl w:val="0"/>
                <w:numId w:val="1"/>
              </w:numPr>
              <w:ind w:left="360"/>
            </w:pPr>
            <w:r>
              <w:t>Role holders will be able to develop systems and processes, taking into account multiple factors and analysing complex data.</w:t>
            </w:r>
          </w:p>
          <w:p w:rsidR="00767B67" w:rsidRDefault="00767B67" w:rsidP="00767B67">
            <w:pPr>
              <w:pStyle w:val="ListParagraph"/>
              <w:numPr>
                <w:ilvl w:val="0"/>
                <w:numId w:val="1"/>
              </w:numPr>
              <w:ind w:left="360"/>
            </w:pPr>
            <w:r>
              <w:t>Will supply data and information to other departments and services.</w:t>
            </w:r>
          </w:p>
          <w:p w:rsidR="00767B67" w:rsidRDefault="00767B67" w:rsidP="00767B67">
            <w:pPr>
              <w:pStyle w:val="ListParagraph"/>
              <w:numPr>
                <w:ilvl w:val="0"/>
                <w:numId w:val="1"/>
              </w:numPr>
              <w:ind w:left="316" w:hanging="316"/>
            </w:pPr>
            <w:r>
              <w:t>Research and investigation may be targeted to achieve operational objectives and typically involve reviewing and seeking improvements or developments in service delivery.</w:t>
            </w:r>
          </w:p>
          <w:p w:rsidR="00767B67" w:rsidRDefault="00767B67" w:rsidP="00767B67">
            <w:pPr>
              <w:pStyle w:val="ListParagraph"/>
              <w:numPr>
                <w:ilvl w:val="0"/>
                <w:numId w:val="1"/>
              </w:numPr>
              <w:ind w:left="316" w:hanging="284"/>
            </w:pPr>
            <w:r>
              <w:t>In some areas research may be as part of national projects.</w:t>
            </w:r>
          </w:p>
          <w:p w:rsidR="00767B67" w:rsidRDefault="00767B67" w:rsidP="00767B67">
            <w:pPr>
              <w:pStyle w:val="ListParagraph"/>
              <w:numPr>
                <w:ilvl w:val="0"/>
                <w:numId w:val="1"/>
              </w:numPr>
              <w:ind w:left="360"/>
            </w:pPr>
            <w:r>
              <w:lastRenderedPageBreak/>
              <w:t>Thorough understanding of appropriate health and safety regulations and procedures, ensuring compliance with appropriate legal standards in own work area.</w:t>
            </w:r>
          </w:p>
          <w:p w:rsidR="00767B67" w:rsidRDefault="00767B67" w:rsidP="00767B67">
            <w:pPr>
              <w:pStyle w:val="ListParagraph"/>
              <w:numPr>
                <w:ilvl w:val="1"/>
                <w:numId w:val="1"/>
              </w:numPr>
              <w:ind w:left="316" w:hanging="284"/>
            </w:pPr>
            <w:r>
              <w:t>Role holders may manage technical or operational services and have responsibility for the safe working of others.</w:t>
            </w:r>
          </w:p>
        </w:tc>
      </w:tr>
      <w:tr w:rsidR="00767B67" w:rsidTr="009F6AD7">
        <w:tc>
          <w:tcPr>
            <w:tcW w:w="2335" w:type="dxa"/>
            <w:shd w:val="clear" w:color="auto" w:fill="DBE5F1" w:themeFill="accent1" w:themeFillTint="33"/>
          </w:tcPr>
          <w:p w:rsidR="00767B67" w:rsidRDefault="00767B67" w:rsidP="007707B6">
            <w:r>
              <w:lastRenderedPageBreak/>
              <w:t>Planning and Organising</w:t>
            </w:r>
          </w:p>
        </w:tc>
        <w:tc>
          <w:tcPr>
            <w:tcW w:w="6681" w:type="dxa"/>
            <w:gridSpan w:val="2"/>
            <w:shd w:val="clear" w:color="auto" w:fill="DBE5F1" w:themeFill="accent1" w:themeFillTint="33"/>
          </w:tcPr>
          <w:p w:rsidR="00767B67" w:rsidRDefault="00767B67" w:rsidP="00767B67">
            <w:pPr>
              <w:pStyle w:val="ListParagraph"/>
              <w:numPr>
                <w:ilvl w:val="0"/>
                <w:numId w:val="1"/>
              </w:numPr>
              <w:ind w:left="316" w:hanging="284"/>
            </w:pPr>
            <w:r>
              <w:t>Role holders will liaise with others and develop collaborative relationships.</w:t>
            </w:r>
          </w:p>
          <w:p w:rsidR="00767B67" w:rsidRDefault="00767B67" w:rsidP="00767B67">
            <w:pPr>
              <w:pStyle w:val="ListParagraph"/>
              <w:numPr>
                <w:ilvl w:val="1"/>
                <w:numId w:val="1"/>
              </w:numPr>
              <w:ind w:left="316" w:hanging="316"/>
            </w:pPr>
            <w:r>
              <w:t>May manage a group of staff within a team or section, including recruitment, induction and training, to ensure completion of tasks in a timely fashion.</w:t>
            </w:r>
          </w:p>
          <w:p w:rsidR="00767B67" w:rsidRDefault="00767B67" w:rsidP="00767B67">
            <w:pPr>
              <w:pStyle w:val="ListParagraph"/>
              <w:numPr>
                <w:ilvl w:val="1"/>
                <w:numId w:val="1"/>
              </w:numPr>
              <w:ind w:left="316" w:hanging="316"/>
            </w:pPr>
            <w:r>
              <w:t>Planning of service to feed into broader departmental or sectional plans will be required.</w:t>
            </w:r>
          </w:p>
          <w:p w:rsidR="00767B67" w:rsidRDefault="00767B67" w:rsidP="00767B67">
            <w:pPr>
              <w:pStyle w:val="ListParagraph"/>
              <w:numPr>
                <w:ilvl w:val="1"/>
                <w:numId w:val="1"/>
              </w:numPr>
              <w:ind w:left="316" w:hanging="316"/>
            </w:pPr>
            <w:r>
              <w:t xml:space="preserve">Planning occurs over a period of weeks to months ahead. </w:t>
            </w:r>
          </w:p>
          <w:p w:rsidR="00767B67" w:rsidRDefault="00767B67" w:rsidP="00767B67">
            <w:pPr>
              <w:pStyle w:val="ListParagraph"/>
              <w:numPr>
                <w:ilvl w:val="1"/>
                <w:numId w:val="1"/>
              </w:numPr>
              <w:ind w:left="316" w:hanging="316"/>
            </w:pPr>
            <w:r>
              <w:t>Role holders may monitor resources/budgets and contribute to resource and budget planning and make recommendations about future requirements.</w:t>
            </w:r>
          </w:p>
          <w:p w:rsidR="00767B67" w:rsidRDefault="00767B67" w:rsidP="00767B67">
            <w:pPr>
              <w:pStyle w:val="ListParagraph"/>
              <w:numPr>
                <w:ilvl w:val="0"/>
                <w:numId w:val="1"/>
              </w:numPr>
              <w:ind w:left="316" w:hanging="284"/>
            </w:pPr>
            <w:r>
              <w:t>May co-ordinate and manage projects/services within agreed budgets.</w:t>
            </w:r>
          </w:p>
        </w:tc>
      </w:tr>
      <w:tr w:rsidR="00767B67" w:rsidTr="009F6AD7">
        <w:tc>
          <w:tcPr>
            <w:tcW w:w="2335" w:type="dxa"/>
            <w:shd w:val="clear" w:color="auto" w:fill="DBE5F1" w:themeFill="accent1" w:themeFillTint="33"/>
          </w:tcPr>
          <w:p w:rsidR="00767B67" w:rsidRDefault="00767B67" w:rsidP="007707B6">
            <w:r>
              <w:t>Initiative and Decision Making</w:t>
            </w:r>
          </w:p>
        </w:tc>
        <w:tc>
          <w:tcPr>
            <w:tcW w:w="6681" w:type="dxa"/>
            <w:gridSpan w:val="2"/>
            <w:shd w:val="clear" w:color="auto" w:fill="DBE5F1" w:themeFill="accent1" w:themeFillTint="33"/>
          </w:tcPr>
          <w:p w:rsidR="00767B67" w:rsidRDefault="00767B67" w:rsidP="00767B67">
            <w:pPr>
              <w:pStyle w:val="ListParagraph"/>
              <w:numPr>
                <w:ilvl w:val="0"/>
                <w:numId w:val="1"/>
              </w:numPr>
              <w:ind w:left="316" w:hanging="284"/>
            </w:pPr>
            <w:r>
              <w:t>Role holders will investigate complex problems and test solutions.</w:t>
            </w:r>
          </w:p>
          <w:p w:rsidR="00767B67" w:rsidRDefault="00767B67" w:rsidP="00767B67">
            <w:pPr>
              <w:pStyle w:val="ListParagraph"/>
              <w:numPr>
                <w:ilvl w:val="1"/>
                <w:numId w:val="1"/>
              </w:numPr>
              <w:ind w:left="316" w:hanging="284"/>
            </w:pPr>
            <w:r>
              <w:t>Professional judgement, diplomacy and political awareness are required.</w:t>
            </w:r>
          </w:p>
          <w:p w:rsidR="00767B67" w:rsidRDefault="00767B67" w:rsidP="00767B67">
            <w:pPr>
              <w:pStyle w:val="ListParagraph"/>
              <w:numPr>
                <w:ilvl w:val="1"/>
                <w:numId w:val="1"/>
              </w:numPr>
              <w:ind w:left="316" w:hanging="284"/>
            </w:pPr>
            <w:r>
              <w:t>Role holders will be creative and use initiative in carrying out their work and be able to use or incorporate new techniques and methods.</w:t>
            </w:r>
          </w:p>
          <w:p w:rsidR="00767B67" w:rsidRDefault="00767B67" w:rsidP="00767B67">
            <w:pPr>
              <w:pStyle w:val="ListParagraph"/>
              <w:numPr>
                <w:ilvl w:val="0"/>
                <w:numId w:val="1"/>
              </w:numPr>
              <w:ind w:left="316" w:hanging="284"/>
            </w:pPr>
            <w:r>
              <w:t>Role holders will have significant professional autonomy within wider policies and precedents.</w:t>
            </w:r>
          </w:p>
        </w:tc>
      </w:tr>
      <w:tr w:rsidR="00767B67" w:rsidTr="009F6AD7">
        <w:tc>
          <w:tcPr>
            <w:tcW w:w="2335" w:type="dxa"/>
            <w:shd w:val="clear" w:color="auto" w:fill="DBE5F1" w:themeFill="accent1" w:themeFillTint="33"/>
          </w:tcPr>
          <w:p w:rsidR="00767B67" w:rsidRDefault="00767B67" w:rsidP="007707B6">
            <w:r>
              <w:t>Communicating, Persuading and Influencing</w:t>
            </w:r>
          </w:p>
        </w:tc>
        <w:tc>
          <w:tcPr>
            <w:tcW w:w="6681" w:type="dxa"/>
            <w:gridSpan w:val="2"/>
            <w:shd w:val="clear" w:color="auto" w:fill="DBE5F1" w:themeFill="accent1" w:themeFillTint="33"/>
          </w:tcPr>
          <w:p w:rsidR="00767B67" w:rsidRDefault="00767B67" w:rsidP="00767B67">
            <w:pPr>
              <w:pStyle w:val="ListParagraph"/>
              <w:numPr>
                <w:ilvl w:val="0"/>
                <w:numId w:val="1"/>
              </w:numPr>
              <w:ind w:left="316" w:hanging="284"/>
            </w:pPr>
            <w:r>
              <w:t>Role holders must be able to present complex information verbally or in writing at an appropriate level of professional complexity/specialism.</w:t>
            </w:r>
          </w:p>
          <w:p w:rsidR="00767B67" w:rsidRDefault="00767B67" w:rsidP="00767B67">
            <w:pPr>
              <w:pStyle w:val="ListParagraph"/>
              <w:numPr>
                <w:ilvl w:val="0"/>
                <w:numId w:val="1"/>
              </w:numPr>
              <w:ind w:left="316" w:hanging="284"/>
            </w:pPr>
            <w:r>
              <w:t>Required to persuade and influence others in the teams, functions and projects they lead or manage, about new ways of delivering services and the use of new working practices.</w:t>
            </w:r>
          </w:p>
          <w:p w:rsidR="00767B67" w:rsidRDefault="00767B67" w:rsidP="00767B67">
            <w:pPr>
              <w:pStyle w:val="ListParagraph"/>
              <w:numPr>
                <w:ilvl w:val="0"/>
                <w:numId w:val="1"/>
              </w:numPr>
              <w:ind w:left="316" w:hanging="284"/>
            </w:pPr>
            <w:r>
              <w:t>Role holders will have a range of contacts both internal and external to the College and may participate in relevant committees.</w:t>
            </w:r>
          </w:p>
          <w:p w:rsidR="00767B67" w:rsidRDefault="00767B67" w:rsidP="00767B67">
            <w:pPr>
              <w:pStyle w:val="ListParagraph"/>
              <w:numPr>
                <w:ilvl w:val="0"/>
                <w:numId w:val="1"/>
              </w:numPr>
              <w:ind w:left="316" w:hanging="284"/>
            </w:pPr>
            <w:r>
              <w:t>May represent the College externally to contractors, other College’s, Education institutions and external agencies.</w:t>
            </w:r>
          </w:p>
        </w:tc>
      </w:tr>
      <w:tr w:rsidR="00767B67" w:rsidTr="009F6AD7">
        <w:tc>
          <w:tcPr>
            <w:tcW w:w="2335" w:type="dxa"/>
            <w:shd w:val="clear" w:color="auto" w:fill="DBE5F1" w:themeFill="accent1" w:themeFillTint="33"/>
          </w:tcPr>
          <w:p w:rsidR="00767B67" w:rsidRDefault="00767B67" w:rsidP="007707B6">
            <w:r>
              <w:t>Teamwork</w:t>
            </w:r>
          </w:p>
        </w:tc>
        <w:tc>
          <w:tcPr>
            <w:tcW w:w="6681" w:type="dxa"/>
            <w:gridSpan w:val="2"/>
            <w:shd w:val="clear" w:color="auto" w:fill="DBE5F1" w:themeFill="accent1" w:themeFillTint="33"/>
          </w:tcPr>
          <w:p w:rsidR="00767B67" w:rsidRDefault="00767B67" w:rsidP="00767B67">
            <w:pPr>
              <w:pStyle w:val="ListParagraph"/>
              <w:numPr>
                <w:ilvl w:val="0"/>
                <w:numId w:val="1"/>
              </w:numPr>
              <w:ind w:left="316" w:hanging="284"/>
            </w:pPr>
            <w:r w:rsidRPr="0073380A">
              <w:t>May be required to manage a group of staff within a team or section (may include specialist/technical staff) or may be considered a specialist within an area of expertise working within a wider team.</w:t>
            </w:r>
          </w:p>
        </w:tc>
      </w:tr>
      <w:tr w:rsidR="00767B67" w:rsidRPr="00197E3A" w:rsidTr="009F6AD7">
        <w:trPr>
          <w:trHeight w:val="249"/>
        </w:trPr>
        <w:tc>
          <w:tcPr>
            <w:tcW w:w="9016" w:type="dxa"/>
            <w:gridSpan w:val="3"/>
            <w:shd w:val="clear" w:color="auto" w:fill="F2DBDB" w:themeFill="accent2" w:themeFillTint="33"/>
          </w:tcPr>
          <w:p w:rsidR="00767B67" w:rsidRDefault="00767B67" w:rsidP="007707B6">
            <w:pPr>
              <w:rPr>
                <w:b/>
              </w:rPr>
            </w:pPr>
            <w:r>
              <w:rPr>
                <w:b/>
              </w:rPr>
              <w:t xml:space="preserve">REPRESENTATIVE </w:t>
            </w:r>
            <w:r w:rsidRPr="00197E3A">
              <w:rPr>
                <w:b/>
              </w:rPr>
              <w:t>SKILLS,  KNOWLEDGE &amp; EXPERIENCE</w:t>
            </w:r>
          </w:p>
          <w:p w:rsidR="00767B67" w:rsidRPr="00197E3A" w:rsidRDefault="00767B67" w:rsidP="007707B6">
            <w:pPr>
              <w:rPr>
                <w:b/>
              </w:rPr>
            </w:pPr>
          </w:p>
        </w:tc>
      </w:tr>
      <w:tr w:rsidR="00767B67" w:rsidTr="009F6AD7">
        <w:tc>
          <w:tcPr>
            <w:tcW w:w="9016" w:type="dxa"/>
            <w:gridSpan w:val="3"/>
            <w:tcBorders>
              <w:bottom w:val="single" w:sz="4" w:space="0" w:color="auto"/>
            </w:tcBorders>
            <w:shd w:val="clear" w:color="auto" w:fill="F2DBDB" w:themeFill="accent2" w:themeFillTint="33"/>
          </w:tcPr>
          <w:p w:rsidR="00767B67" w:rsidRDefault="00767B67" w:rsidP="00767B67">
            <w:pPr>
              <w:pStyle w:val="ListParagraph"/>
              <w:numPr>
                <w:ilvl w:val="0"/>
                <w:numId w:val="1"/>
              </w:numPr>
              <w:ind w:left="284" w:hanging="284"/>
            </w:pPr>
            <w:r>
              <w:t>Role holders are likely to have a degree or equivalent qualification and professional level experience showing success in a similar work environment, backed by evidence of appropriate up to date knowledge of relevant professional, specialist or technical issues, legal and regulatory requirements.</w:t>
            </w:r>
          </w:p>
          <w:p w:rsidR="00767B67" w:rsidRDefault="00767B67" w:rsidP="00767B67">
            <w:pPr>
              <w:pStyle w:val="ListParagraph"/>
              <w:numPr>
                <w:ilvl w:val="0"/>
                <w:numId w:val="1"/>
              </w:numPr>
              <w:ind w:left="284" w:hanging="284"/>
            </w:pPr>
            <w:r>
              <w:t xml:space="preserve">Ability to, or experience of, managing a team and providing effective leadership </w:t>
            </w:r>
          </w:p>
          <w:p w:rsidR="00767B67" w:rsidRDefault="00767B67" w:rsidP="00767B67">
            <w:pPr>
              <w:pStyle w:val="ListParagraph"/>
              <w:numPr>
                <w:ilvl w:val="0"/>
                <w:numId w:val="1"/>
              </w:numPr>
              <w:ind w:left="284" w:hanging="284"/>
            </w:pPr>
            <w:r>
              <w:t>In many areas a professional qualification may also be expected.</w:t>
            </w:r>
          </w:p>
          <w:p w:rsidR="00767B67" w:rsidRDefault="00767B67" w:rsidP="00767B67">
            <w:pPr>
              <w:pStyle w:val="ListParagraph"/>
              <w:numPr>
                <w:ilvl w:val="0"/>
                <w:numId w:val="1"/>
              </w:numPr>
              <w:ind w:left="284" w:hanging="284"/>
            </w:pPr>
            <w:r>
              <w:t>Knowledge of College structures and systems and how they inter-relate is needed.</w:t>
            </w:r>
          </w:p>
          <w:p w:rsidR="00767B67" w:rsidRDefault="00767B67" w:rsidP="00767B67">
            <w:pPr>
              <w:pStyle w:val="ListParagraph"/>
              <w:numPr>
                <w:ilvl w:val="0"/>
                <w:numId w:val="1"/>
              </w:numPr>
              <w:ind w:left="284" w:hanging="284"/>
            </w:pPr>
            <w:r>
              <w:t>Sufficient knowledge and aptitude to contribute to policy discussions, anticipate, respond to and initiate change and to take projects forward is required.</w:t>
            </w:r>
          </w:p>
          <w:p w:rsidR="00767B67" w:rsidRDefault="00767B67" w:rsidP="00767B67">
            <w:pPr>
              <w:pStyle w:val="ListParagraph"/>
              <w:numPr>
                <w:ilvl w:val="0"/>
                <w:numId w:val="1"/>
              </w:numPr>
              <w:ind w:left="284" w:hanging="284"/>
            </w:pPr>
            <w:r>
              <w:t>A wide awareness of developments in further education and the external professional environment and how this impact on service delivery is required.</w:t>
            </w:r>
          </w:p>
          <w:p w:rsidR="00767B67" w:rsidRDefault="00767B67" w:rsidP="007707B6">
            <w:pPr>
              <w:pStyle w:val="ListParagraph"/>
              <w:ind w:left="284"/>
            </w:pPr>
          </w:p>
        </w:tc>
      </w:tr>
      <w:tr w:rsidR="00767B67" w:rsidRPr="00197E3A" w:rsidTr="009F6AD7">
        <w:tc>
          <w:tcPr>
            <w:tcW w:w="9016" w:type="dxa"/>
            <w:gridSpan w:val="3"/>
            <w:shd w:val="clear" w:color="auto" w:fill="EAF1DD" w:themeFill="accent3" w:themeFillTint="33"/>
          </w:tcPr>
          <w:p w:rsidR="00767B67" w:rsidRDefault="00767B67" w:rsidP="007707B6">
            <w:pPr>
              <w:rPr>
                <w:b/>
              </w:rPr>
            </w:pPr>
            <w:r>
              <w:rPr>
                <w:b/>
              </w:rPr>
              <w:t>REPRESENTATIVE PERFORMANCE INDICATORS</w:t>
            </w:r>
          </w:p>
          <w:p w:rsidR="00767B67" w:rsidRPr="00197E3A" w:rsidRDefault="00767B67" w:rsidP="007707B6">
            <w:pPr>
              <w:rPr>
                <w:b/>
              </w:rPr>
            </w:pPr>
          </w:p>
        </w:tc>
      </w:tr>
      <w:tr w:rsidR="00767B67" w:rsidTr="009F6AD7">
        <w:tc>
          <w:tcPr>
            <w:tcW w:w="9016" w:type="dxa"/>
            <w:gridSpan w:val="3"/>
            <w:shd w:val="clear" w:color="auto" w:fill="EAF1DD" w:themeFill="accent3" w:themeFillTint="33"/>
          </w:tcPr>
          <w:p w:rsidR="00767B67" w:rsidRDefault="00767B67" w:rsidP="00767B67">
            <w:pPr>
              <w:pStyle w:val="ListParagraph"/>
              <w:numPr>
                <w:ilvl w:val="0"/>
                <w:numId w:val="2"/>
              </w:numPr>
              <w:ind w:left="284" w:hanging="284"/>
            </w:pPr>
            <w:r>
              <w:t>Agree and set service objectives within a Department or for an activity.</w:t>
            </w:r>
          </w:p>
          <w:p w:rsidR="00767B67" w:rsidRDefault="00767B67" w:rsidP="00767B67">
            <w:pPr>
              <w:pStyle w:val="ListParagraph"/>
              <w:numPr>
                <w:ilvl w:val="0"/>
                <w:numId w:val="1"/>
              </w:numPr>
              <w:ind w:left="284" w:hanging="284"/>
            </w:pPr>
            <w:r>
              <w:lastRenderedPageBreak/>
              <w:t>Implement and progress strategic and development plans, designed to maximise service delivery.</w:t>
            </w:r>
          </w:p>
          <w:p w:rsidR="00767B67" w:rsidRDefault="00767B67" w:rsidP="00767B67">
            <w:pPr>
              <w:pStyle w:val="ListParagraph"/>
              <w:numPr>
                <w:ilvl w:val="0"/>
                <w:numId w:val="1"/>
              </w:numPr>
              <w:ind w:left="284" w:hanging="284"/>
            </w:pPr>
            <w:r>
              <w:t>Identify and recommend best practice from other areas of further education and elsewhere.</w:t>
            </w:r>
          </w:p>
          <w:p w:rsidR="00767B67" w:rsidRDefault="00767B67" w:rsidP="00767B67">
            <w:pPr>
              <w:pStyle w:val="ListParagraph"/>
              <w:numPr>
                <w:ilvl w:val="0"/>
                <w:numId w:val="1"/>
              </w:numPr>
              <w:ind w:left="284" w:hanging="284"/>
            </w:pPr>
            <w:r>
              <w:t>Manage specific projects/service for a department or section.</w:t>
            </w:r>
          </w:p>
          <w:p w:rsidR="00767B67" w:rsidRDefault="00767B67" w:rsidP="00767B67">
            <w:pPr>
              <w:pStyle w:val="ListParagraph"/>
              <w:numPr>
                <w:ilvl w:val="0"/>
                <w:numId w:val="1"/>
              </w:numPr>
              <w:ind w:left="284" w:hanging="284"/>
            </w:pPr>
            <w:r>
              <w:t>Maintain and develop information systems for a department.</w:t>
            </w:r>
          </w:p>
        </w:tc>
      </w:tr>
    </w:tbl>
    <w:p w:rsidR="00767B67" w:rsidRDefault="00767B67" w:rsidP="00767B67"/>
    <w:p w:rsidR="00767B67" w:rsidRDefault="00767B67" w:rsidP="00767B67"/>
    <w:p w:rsidR="004E79E7" w:rsidRDefault="004E79E7">
      <w:r>
        <w:br w:type="page"/>
      </w:r>
    </w:p>
    <w:p w:rsidR="00767B67" w:rsidRDefault="004E79E7" w:rsidP="00767B67">
      <w:r>
        <w:rPr>
          <w:noProof/>
          <w:lang w:eastAsia="en-GB"/>
        </w:rPr>
        <w:lastRenderedPageBreak/>
        <w:drawing>
          <wp:inline distT="0" distB="0" distL="0" distR="0">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C yellow logo JP.jpg"/>
                    <pic:cNvPicPr/>
                  </pic:nvPicPr>
                  <pic:blipFill>
                    <a:blip r:embed="rId5">
                      <a:extLst>
                        <a:ext uri="{28A0092B-C50C-407E-A947-70E740481C1C}">
                          <a14:useLocalDpi xmlns:a14="http://schemas.microsoft.com/office/drawing/2010/main" val="0"/>
                        </a:ext>
                      </a:extLst>
                    </a:blip>
                    <a:stretch>
                      <a:fillRect/>
                    </a:stretch>
                  </pic:blipFill>
                  <pic:spPr>
                    <a:xfrm>
                      <a:off x="0" y="0"/>
                      <a:ext cx="830580" cy="830580"/>
                    </a:xfrm>
                    <a:prstGeom prst="rect">
                      <a:avLst/>
                    </a:prstGeom>
                  </pic:spPr>
                </pic:pic>
              </a:graphicData>
            </a:graphic>
          </wp:inline>
        </w:drawing>
      </w:r>
    </w:p>
    <w:p w:rsidR="00767B67" w:rsidRPr="004E79E7" w:rsidRDefault="004E79E7" w:rsidP="00767B67">
      <w:pPr>
        <w:rPr>
          <w:b/>
        </w:rPr>
      </w:pPr>
      <w:r w:rsidRPr="004E79E7">
        <w:rPr>
          <w:b/>
        </w:rPr>
        <w:t>IAG Manager</w:t>
      </w:r>
    </w:p>
    <w:tbl>
      <w:tblPr>
        <w:tblStyle w:val="TableGrid"/>
        <w:tblW w:w="0" w:type="auto"/>
        <w:tblLook w:val="04A0" w:firstRow="1" w:lastRow="0" w:firstColumn="1" w:lastColumn="0" w:noHBand="0" w:noVBand="1"/>
      </w:tblPr>
      <w:tblGrid>
        <w:gridCol w:w="6123"/>
        <w:gridCol w:w="1537"/>
        <w:gridCol w:w="1356"/>
      </w:tblGrid>
      <w:tr w:rsidR="004E79E7" w:rsidRPr="003B58FE" w:rsidTr="00643B75">
        <w:tc>
          <w:tcPr>
            <w:tcW w:w="6123" w:type="dxa"/>
          </w:tcPr>
          <w:p w:rsidR="004E79E7" w:rsidRPr="003B58FE" w:rsidRDefault="004E79E7" w:rsidP="004E79E7">
            <w:pPr>
              <w:spacing w:before="100"/>
              <w:outlineLvl w:val="5"/>
              <w:rPr>
                <w:rFonts w:eastAsia="Times New Roman" w:cstheme="minorHAnsi"/>
                <w:b/>
                <w:bCs/>
                <w:lang w:eastAsia="en-GB"/>
              </w:rPr>
            </w:pPr>
            <w:r w:rsidRPr="003B58FE">
              <w:rPr>
                <w:rFonts w:eastAsia="Times New Roman" w:cstheme="minorHAnsi"/>
                <w:b/>
                <w:bCs/>
                <w:lang w:eastAsia="en-GB"/>
              </w:rPr>
              <w:t>Person Specification</w:t>
            </w:r>
            <w:r>
              <w:rPr>
                <w:rFonts w:eastAsia="Times New Roman" w:cstheme="minorHAnsi"/>
                <w:b/>
                <w:bCs/>
                <w:lang w:eastAsia="en-GB"/>
              </w:rPr>
              <w:t xml:space="preserve">  </w:t>
            </w:r>
          </w:p>
        </w:tc>
        <w:tc>
          <w:tcPr>
            <w:tcW w:w="1537" w:type="dxa"/>
          </w:tcPr>
          <w:p w:rsidR="004E79E7" w:rsidRPr="003B58FE" w:rsidRDefault="004E79E7" w:rsidP="009A4DEF">
            <w:pPr>
              <w:spacing w:before="100"/>
              <w:jc w:val="center"/>
              <w:outlineLvl w:val="5"/>
              <w:rPr>
                <w:rFonts w:eastAsia="Times New Roman" w:cstheme="minorHAnsi"/>
                <w:b/>
                <w:bCs/>
                <w:lang w:eastAsia="en-GB"/>
              </w:rPr>
            </w:pPr>
            <w:r w:rsidRPr="003B58FE">
              <w:rPr>
                <w:rFonts w:eastAsia="Times New Roman" w:cstheme="minorHAnsi"/>
                <w:b/>
                <w:bCs/>
                <w:lang w:eastAsia="en-GB"/>
              </w:rPr>
              <w:t>Essential</w:t>
            </w:r>
          </w:p>
          <w:p w:rsidR="004E79E7" w:rsidRPr="003B58FE" w:rsidRDefault="004E79E7" w:rsidP="009A4DEF">
            <w:pPr>
              <w:spacing w:before="100"/>
              <w:jc w:val="center"/>
              <w:outlineLvl w:val="5"/>
              <w:rPr>
                <w:rFonts w:eastAsia="Times New Roman" w:cstheme="minorHAnsi"/>
                <w:b/>
                <w:bCs/>
                <w:lang w:eastAsia="en-GB"/>
              </w:rPr>
            </w:pPr>
            <w:r w:rsidRPr="003B58FE">
              <w:rPr>
                <w:rFonts w:eastAsia="Times New Roman" w:cstheme="minorHAnsi"/>
                <w:b/>
                <w:bCs/>
                <w:lang w:eastAsia="en-GB"/>
              </w:rPr>
              <w:t>Desirable</w:t>
            </w:r>
          </w:p>
          <w:p w:rsidR="004E79E7" w:rsidRPr="003B58FE" w:rsidRDefault="004E79E7" w:rsidP="009A4DEF">
            <w:pPr>
              <w:spacing w:before="100"/>
              <w:jc w:val="center"/>
              <w:outlineLvl w:val="5"/>
              <w:rPr>
                <w:rFonts w:eastAsia="Times New Roman" w:cstheme="minorHAnsi"/>
                <w:b/>
                <w:bCs/>
                <w:lang w:eastAsia="en-GB"/>
              </w:rPr>
            </w:pPr>
            <w:r w:rsidRPr="003B58FE">
              <w:rPr>
                <w:rFonts w:eastAsia="Times New Roman" w:cstheme="minorHAnsi"/>
                <w:b/>
                <w:bCs/>
                <w:lang w:eastAsia="en-GB"/>
              </w:rPr>
              <w:t>(E/D)</w:t>
            </w:r>
          </w:p>
        </w:tc>
        <w:tc>
          <w:tcPr>
            <w:tcW w:w="1356" w:type="dxa"/>
          </w:tcPr>
          <w:p w:rsidR="004E79E7" w:rsidRPr="003B58FE" w:rsidRDefault="004E79E7" w:rsidP="009A4DEF">
            <w:pPr>
              <w:spacing w:before="100"/>
              <w:outlineLvl w:val="5"/>
              <w:rPr>
                <w:rFonts w:eastAsia="Times New Roman" w:cstheme="minorHAnsi"/>
                <w:b/>
                <w:bCs/>
                <w:lang w:eastAsia="en-GB"/>
              </w:rPr>
            </w:pPr>
            <w:r w:rsidRPr="003B58FE">
              <w:rPr>
                <w:rFonts w:eastAsia="Times New Roman" w:cstheme="minorHAnsi"/>
                <w:b/>
                <w:bCs/>
                <w:lang w:eastAsia="en-GB"/>
              </w:rPr>
              <w:t>Application/</w:t>
            </w:r>
          </w:p>
          <w:p w:rsidR="004E79E7" w:rsidRPr="003B58FE" w:rsidRDefault="004E79E7" w:rsidP="009A4DEF">
            <w:pPr>
              <w:spacing w:before="100"/>
              <w:outlineLvl w:val="5"/>
              <w:rPr>
                <w:rFonts w:eastAsia="Times New Roman" w:cstheme="minorHAnsi"/>
                <w:b/>
                <w:bCs/>
                <w:lang w:eastAsia="en-GB"/>
              </w:rPr>
            </w:pPr>
            <w:r w:rsidRPr="003B58FE">
              <w:rPr>
                <w:rFonts w:eastAsia="Times New Roman" w:cstheme="minorHAnsi"/>
                <w:b/>
                <w:bCs/>
                <w:lang w:eastAsia="en-GB"/>
              </w:rPr>
              <w:t>Interview</w:t>
            </w:r>
          </w:p>
          <w:p w:rsidR="004E79E7" w:rsidRPr="003B58FE" w:rsidRDefault="004E79E7" w:rsidP="009A4DEF">
            <w:pPr>
              <w:spacing w:before="100"/>
              <w:outlineLvl w:val="5"/>
              <w:rPr>
                <w:rFonts w:eastAsia="Times New Roman" w:cstheme="minorHAnsi"/>
                <w:b/>
                <w:bCs/>
                <w:lang w:eastAsia="en-GB"/>
              </w:rPr>
            </w:pPr>
            <w:r w:rsidRPr="003B58FE">
              <w:rPr>
                <w:rFonts w:eastAsia="Times New Roman" w:cstheme="minorHAnsi"/>
                <w:b/>
                <w:bCs/>
                <w:lang w:eastAsia="en-GB"/>
              </w:rPr>
              <w:t>(A/I)</w:t>
            </w:r>
          </w:p>
        </w:tc>
      </w:tr>
      <w:tr w:rsidR="004E79E7" w:rsidRPr="003B58FE" w:rsidTr="00643B75">
        <w:tc>
          <w:tcPr>
            <w:tcW w:w="6123" w:type="dxa"/>
          </w:tcPr>
          <w:p w:rsidR="004E79E7" w:rsidRPr="003B58FE" w:rsidRDefault="004E79E7" w:rsidP="009A4DEF">
            <w:pPr>
              <w:spacing w:before="100"/>
              <w:outlineLvl w:val="5"/>
              <w:rPr>
                <w:rFonts w:eastAsia="Times New Roman" w:cstheme="minorHAnsi"/>
                <w:b/>
                <w:bCs/>
                <w:lang w:eastAsia="en-GB"/>
              </w:rPr>
            </w:pPr>
            <w:r w:rsidRPr="003B58FE">
              <w:rPr>
                <w:rFonts w:eastAsia="Times New Roman" w:cstheme="minorHAnsi"/>
                <w:b/>
                <w:bCs/>
                <w:lang w:eastAsia="en-GB"/>
              </w:rPr>
              <w:t>Qualifications</w:t>
            </w:r>
          </w:p>
        </w:tc>
        <w:tc>
          <w:tcPr>
            <w:tcW w:w="1537" w:type="dxa"/>
          </w:tcPr>
          <w:p w:rsidR="004E79E7" w:rsidRPr="003B58FE" w:rsidRDefault="004E79E7" w:rsidP="009A4DEF">
            <w:pPr>
              <w:spacing w:before="100"/>
              <w:jc w:val="center"/>
              <w:outlineLvl w:val="5"/>
              <w:rPr>
                <w:rFonts w:eastAsia="Times New Roman" w:cstheme="minorHAnsi"/>
                <w:b/>
                <w:bCs/>
                <w:lang w:eastAsia="en-GB"/>
              </w:rPr>
            </w:pPr>
          </w:p>
        </w:tc>
        <w:tc>
          <w:tcPr>
            <w:tcW w:w="1356" w:type="dxa"/>
          </w:tcPr>
          <w:p w:rsidR="004E79E7" w:rsidRPr="003B58FE" w:rsidRDefault="004E79E7" w:rsidP="009A4DEF">
            <w:pPr>
              <w:spacing w:before="100"/>
              <w:jc w:val="center"/>
              <w:outlineLvl w:val="5"/>
              <w:rPr>
                <w:rFonts w:eastAsia="Times New Roman" w:cstheme="minorHAnsi"/>
                <w:b/>
                <w:bCs/>
                <w:lang w:eastAsia="en-GB"/>
              </w:rPr>
            </w:pPr>
          </w:p>
        </w:tc>
      </w:tr>
      <w:tr w:rsidR="004E79E7" w:rsidRPr="003B58FE" w:rsidTr="00643B75">
        <w:tc>
          <w:tcPr>
            <w:tcW w:w="6123" w:type="dxa"/>
          </w:tcPr>
          <w:p w:rsidR="004E79E7" w:rsidRPr="003B58FE" w:rsidRDefault="009B75F0" w:rsidP="009A4DEF">
            <w:pPr>
              <w:spacing w:before="100" w:beforeAutospacing="1" w:after="100" w:afterAutospacing="1"/>
              <w:rPr>
                <w:rFonts w:eastAsia="Times New Roman" w:cstheme="minorHAnsi"/>
                <w:lang w:eastAsia="en-GB"/>
              </w:rPr>
            </w:pPr>
            <w:r w:rsidRPr="009B75F0">
              <w:rPr>
                <w:rFonts w:eastAsia="Times New Roman" w:cstheme="minorHAnsi"/>
                <w:lang w:eastAsia="en-GB"/>
              </w:rPr>
              <w:t>Level 6 Careers Guidance and Development (or equivalent)</w:t>
            </w:r>
          </w:p>
        </w:tc>
        <w:tc>
          <w:tcPr>
            <w:tcW w:w="1537" w:type="dxa"/>
          </w:tcPr>
          <w:p w:rsidR="004E79E7" w:rsidRPr="003B58FE" w:rsidRDefault="0096138F" w:rsidP="009A4DEF">
            <w:pPr>
              <w:spacing w:before="100" w:beforeAutospacing="1" w:after="100" w:afterAutospacing="1"/>
              <w:jc w:val="center"/>
              <w:rPr>
                <w:rFonts w:eastAsia="Times New Roman" w:cstheme="minorHAnsi"/>
                <w:lang w:eastAsia="en-GB"/>
              </w:rPr>
            </w:pPr>
            <w:r>
              <w:rPr>
                <w:rFonts w:eastAsia="Times New Roman" w:cstheme="minorHAnsi"/>
                <w:lang w:eastAsia="en-GB"/>
              </w:rPr>
              <w:t>E</w:t>
            </w:r>
          </w:p>
        </w:tc>
        <w:tc>
          <w:tcPr>
            <w:tcW w:w="1356" w:type="dxa"/>
          </w:tcPr>
          <w:p w:rsidR="004E79E7" w:rsidRPr="003B58FE" w:rsidRDefault="0096138F" w:rsidP="009A4DEF">
            <w:pPr>
              <w:spacing w:before="100" w:beforeAutospacing="1" w:after="100" w:afterAutospacing="1"/>
              <w:jc w:val="center"/>
              <w:rPr>
                <w:rFonts w:eastAsia="Times New Roman" w:cstheme="minorHAnsi"/>
                <w:lang w:eastAsia="en-GB"/>
              </w:rPr>
            </w:pPr>
            <w:r>
              <w:rPr>
                <w:rFonts w:eastAsia="Times New Roman" w:cstheme="minorHAnsi"/>
                <w:lang w:eastAsia="en-GB"/>
              </w:rPr>
              <w:t>A</w:t>
            </w:r>
          </w:p>
        </w:tc>
      </w:tr>
      <w:tr w:rsidR="004E79E7" w:rsidRPr="003B58FE" w:rsidTr="00643B75">
        <w:tc>
          <w:tcPr>
            <w:tcW w:w="6123" w:type="dxa"/>
          </w:tcPr>
          <w:p w:rsidR="004E79E7" w:rsidRPr="003B58FE" w:rsidRDefault="0096138F" w:rsidP="009A4DEF">
            <w:pPr>
              <w:spacing w:before="100" w:beforeAutospacing="1" w:after="100" w:afterAutospacing="1"/>
              <w:rPr>
                <w:rFonts w:eastAsia="Times New Roman" w:cstheme="minorHAnsi"/>
                <w:lang w:eastAsia="en-GB"/>
              </w:rPr>
            </w:pPr>
            <w:r>
              <w:rPr>
                <w:rFonts w:eastAsia="Times New Roman" w:cstheme="minorHAnsi"/>
                <w:lang w:eastAsia="en-GB"/>
              </w:rPr>
              <w:t>Maths and English GCSE or equivalent</w:t>
            </w:r>
          </w:p>
        </w:tc>
        <w:tc>
          <w:tcPr>
            <w:tcW w:w="1537" w:type="dxa"/>
          </w:tcPr>
          <w:p w:rsidR="004E79E7" w:rsidRPr="003B58FE" w:rsidRDefault="0096138F" w:rsidP="009A4DEF">
            <w:pPr>
              <w:spacing w:before="100" w:beforeAutospacing="1" w:after="100" w:afterAutospacing="1"/>
              <w:jc w:val="center"/>
              <w:rPr>
                <w:rFonts w:eastAsia="Times New Roman" w:cstheme="minorHAnsi"/>
                <w:lang w:eastAsia="en-GB"/>
              </w:rPr>
            </w:pPr>
            <w:r>
              <w:rPr>
                <w:rFonts w:eastAsia="Times New Roman" w:cstheme="minorHAnsi"/>
                <w:lang w:eastAsia="en-GB"/>
              </w:rPr>
              <w:t>E</w:t>
            </w:r>
          </w:p>
        </w:tc>
        <w:tc>
          <w:tcPr>
            <w:tcW w:w="1356" w:type="dxa"/>
          </w:tcPr>
          <w:p w:rsidR="004E79E7" w:rsidRPr="003B58FE" w:rsidRDefault="0096138F" w:rsidP="009A4DEF">
            <w:pPr>
              <w:spacing w:before="100" w:beforeAutospacing="1" w:after="100" w:afterAutospacing="1"/>
              <w:jc w:val="center"/>
              <w:rPr>
                <w:rFonts w:eastAsia="Times New Roman" w:cstheme="minorHAnsi"/>
                <w:lang w:eastAsia="en-GB"/>
              </w:rPr>
            </w:pPr>
            <w:r>
              <w:rPr>
                <w:rFonts w:eastAsia="Times New Roman" w:cstheme="minorHAnsi"/>
                <w:lang w:eastAsia="en-GB"/>
              </w:rPr>
              <w:t>A</w:t>
            </w:r>
          </w:p>
        </w:tc>
      </w:tr>
      <w:tr w:rsidR="004E79E7" w:rsidRPr="002D6A8E" w:rsidTr="00643B75">
        <w:trPr>
          <w:trHeight w:val="221"/>
        </w:trPr>
        <w:tc>
          <w:tcPr>
            <w:tcW w:w="6123" w:type="dxa"/>
          </w:tcPr>
          <w:p w:rsidR="004E79E7" w:rsidRPr="002D6A8E" w:rsidRDefault="009B75F0" w:rsidP="009A4DEF">
            <w:pPr>
              <w:spacing w:before="100"/>
              <w:outlineLvl w:val="5"/>
              <w:rPr>
                <w:rFonts w:eastAsia="Times New Roman" w:cstheme="minorHAnsi"/>
                <w:bCs/>
                <w:lang w:eastAsia="en-GB"/>
              </w:rPr>
            </w:pPr>
            <w:r w:rsidRPr="009B75F0">
              <w:rPr>
                <w:rFonts w:eastAsia="Times New Roman" w:cstheme="minorHAnsi"/>
                <w:bCs/>
                <w:lang w:eastAsia="en-GB"/>
              </w:rPr>
              <w:t>Relevant level 3 (A levels/BTECs) Qualifications</w:t>
            </w:r>
          </w:p>
        </w:tc>
        <w:tc>
          <w:tcPr>
            <w:tcW w:w="1537" w:type="dxa"/>
          </w:tcPr>
          <w:p w:rsidR="004E79E7" w:rsidRPr="002D6A8E" w:rsidRDefault="009B75F0" w:rsidP="009A4DEF">
            <w:pPr>
              <w:spacing w:before="100"/>
              <w:jc w:val="center"/>
              <w:outlineLvl w:val="5"/>
              <w:rPr>
                <w:rFonts w:eastAsia="Times New Roman" w:cstheme="minorHAnsi"/>
                <w:bCs/>
                <w:lang w:eastAsia="en-GB"/>
              </w:rPr>
            </w:pPr>
            <w:r>
              <w:rPr>
                <w:rFonts w:eastAsia="Times New Roman" w:cstheme="minorHAnsi"/>
                <w:bCs/>
                <w:lang w:eastAsia="en-GB"/>
              </w:rPr>
              <w:t>E</w:t>
            </w:r>
          </w:p>
        </w:tc>
        <w:tc>
          <w:tcPr>
            <w:tcW w:w="1356" w:type="dxa"/>
          </w:tcPr>
          <w:p w:rsidR="004E79E7" w:rsidRPr="002D6A8E" w:rsidRDefault="009B75F0" w:rsidP="009A4DEF">
            <w:pPr>
              <w:spacing w:before="100"/>
              <w:jc w:val="center"/>
              <w:outlineLvl w:val="5"/>
              <w:rPr>
                <w:rFonts w:eastAsia="Times New Roman" w:cstheme="minorHAnsi"/>
                <w:bCs/>
                <w:lang w:eastAsia="en-GB"/>
              </w:rPr>
            </w:pPr>
            <w:r>
              <w:rPr>
                <w:rFonts w:eastAsia="Times New Roman" w:cstheme="minorHAnsi"/>
                <w:bCs/>
                <w:lang w:eastAsia="en-GB"/>
              </w:rPr>
              <w:t>A</w:t>
            </w:r>
          </w:p>
        </w:tc>
      </w:tr>
      <w:tr w:rsidR="009B75F0" w:rsidRPr="002D6A8E" w:rsidTr="00643B75">
        <w:trPr>
          <w:trHeight w:val="221"/>
        </w:trPr>
        <w:tc>
          <w:tcPr>
            <w:tcW w:w="6123" w:type="dxa"/>
          </w:tcPr>
          <w:p w:rsidR="009B75F0" w:rsidRPr="009B75F0" w:rsidRDefault="009B75F0" w:rsidP="009A4DEF">
            <w:pPr>
              <w:spacing w:before="100"/>
              <w:outlineLvl w:val="5"/>
              <w:rPr>
                <w:rFonts w:eastAsia="Times New Roman" w:cstheme="minorHAnsi"/>
                <w:bCs/>
                <w:lang w:eastAsia="en-GB"/>
              </w:rPr>
            </w:pPr>
            <w:r w:rsidRPr="009B75F0">
              <w:rPr>
                <w:rFonts w:eastAsia="Times New Roman" w:cstheme="minorHAnsi"/>
                <w:bCs/>
                <w:lang w:eastAsia="en-GB"/>
              </w:rPr>
              <w:t>Relevant Degree and/or Professional Qualification</w:t>
            </w:r>
          </w:p>
        </w:tc>
        <w:tc>
          <w:tcPr>
            <w:tcW w:w="1537" w:type="dxa"/>
          </w:tcPr>
          <w:p w:rsidR="009B75F0" w:rsidRDefault="009B75F0" w:rsidP="009A4DEF">
            <w:pPr>
              <w:spacing w:before="100"/>
              <w:jc w:val="center"/>
              <w:outlineLvl w:val="5"/>
              <w:rPr>
                <w:rFonts w:eastAsia="Times New Roman" w:cstheme="minorHAnsi"/>
                <w:bCs/>
                <w:lang w:eastAsia="en-GB"/>
              </w:rPr>
            </w:pPr>
            <w:r>
              <w:rPr>
                <w:rFonts w:eastAsia="Times New Roman" w:cstheme="minorHAnsi"/>
                <w:bCs/>
                <w:lang w:eastAsia="en-GB"/>
              </w:rPr>
              <w:t>D</w:t>
            </w:r>
          </w:p>
        </w:tc>
        <w:tc>
          <w:tcPr>
            <w:tcW w:w="1356" w:type="dxa"/>
          </w:tcPr>
          <w:p w:rsidR="009B75F0" w:rsidRDefault="009B75F0" w:rsidP="009A4DEF">
            <w:pPr>
              <w:spacing w:before="100"/>
              <w:jc w:val="center"/>
              <w:outlineLvl w:val="5"/>
              <w:rPr>
                <w:rFonts w:eastAsia="Times New Roman" w:cstheme="minorHAnsi"/>
                <w:bCs/>
                <w:lang w:eastAsia="en-GB"/>
              </w:rPr>
            </w:pPr>
            <w:r>
              <w:rPr>
                <w:rFonts w:eastAsia="Times New Roman" w:cstheme="minorHAnsi"/>
                <w:bCs/>
                <w:lang w:eastAsia="en-GB"/>
              </w:rPr>
              <w:t>A</w:t>
            </w:r>
          </w:p>
        </w:tc>
      </w:tr>
      <w:tr w:rsidR="004E79E7" w:rsidRPr="003B58FE" w:rsidTr="00643B75">
        <w:trPr>
          <w:trHeight w:val="221"/>
        </w:trPr>
        <w:tc>
          <w:tcPr>
            <w:tcW w:w="6123" w:type="dxa"/>
          </w:tcPr>
          <w:p w:rsidR="004E79E7" w:rsidRPr="003B58FE" w:rsidRDefault="004E79E7" w:rsidP="009A4DEF">
            <w:pPr>
              <w:spacing w:before="100"/>
              <w:outlineLvl w:val="5"/>
              <w:rPr>
                <w:rFonts w:eastAsia="Times New Roman" w:cstheme="minorHAnsi"/>
                <w:b/>
                <w:bCs/>
                <w:lang w:eastAsia="en-GB"/>
              </w:rPr>
            </w:pPr>
          </w:p>
        </w:tc>
        <w:tc>
          <w:tcPr>
            <w:tcW w:w="1537" w:type="dxa"/>
          </w:tcPr>
          <w:p w:rsidR="004E79E7" w:rsidRPr="003B58FE" w:rsidRDefault="004E79E7" w:rsidP="009A4DEF">
            <w:pPr>
              <w:spacing w:before="100"/>
              <w:jc w:val="center"/>
              <w:outlineLvl w:val="5"/>
              <w:rPr>
                <w:rFonts w:eastAsia="Times New Roman" w:cstheme="minorHAnsi"/>
                <w:b/>
                <w:bCs/>
                <w:lang w:eastAsia="en-GB"/>
              </w:rPr>
            </w:pPr>
          </w:p>
        </w:tc>
        <w:tc>
          <w:tcPr>
            <w:tcW w:w="1356" w:type="dxa"/>
          </w:tcPr>
          <w:p w:rsidR="004E79E7" w:rsidRPr="003B58FE" w:rsidRDefault="004E79E7" w:rsidP="009A4DEF">
            <w:pPr>
              <w:spacing w:before="100"/>
              <w:jc w:val="center"/>
              <w:outlineLvl w:val="5"/>
              <w:rPr>
                <w:rFonts w:eastAsia="Times New Roman" w:cstheme="minorHAnsi"/>
                <w:b/>
                <w:bCs/>
                <w:lang w:eastAsia="en-GB"/>
              </w:rPr>
            </w:pPr>
          </w:p>
        </w:tc>
      </w:tr>
      <w:tr w:rsidR="004E79E7" w:rsidRPr="003B58FE" w:rsidTr="00643B75">
        <w:tc>
          <w:tcPr>
            <w:tcW w:w="6123" w:type="dxa"/>
          </w:tcPr>
          <w:p w:rsidR="004E79E7" w:rsidRPr="003B58FE" w:rsidRDefault="004E79E7" w:rsidP="009A4DEF">
            <w:pPr>
              <w:spacing w:before="100"/>
              <w:outlineLvl w:val="5"/>
              <w:rPr>
                <w:rFonts w:eastAsia="Times New Roman" w:cstheme="minorHAnsi"/>
                <w:b/>
                <w:bCs/>
                <w:lang w:eastAsia="en-GB"/>
              </w:rPr>
            </w:pPr>
            <w:r w:rsidRPr="003B58FE">
              <w:rPr>
                <w:rFonts w:eastAsia="Times New Roman" w:cstheme="minorHAnsi"/>
                <w:b/>
                <w:bCs/>
                <w:lang w:eastAsia="en-GB"/>
              </w:rPr>
              <w:t>Skills and Abilities</w:t>
            </w:r>
          </w:p>
        </w:tc>
        <w:tc>
          <w:tcPr>
            <w:tcW w:w="1537" w:type="dxa"/>
          </w:tcPr>
          <w:p w:rsidR="004E79E7" w:rsidRPr="003B58FE" w:rsidRDefault="004E79E7" w:rsidP="009A4DEF">
            <w:pPr>
              <w:spacing w:before="100"/>
              <w:jc w:val="center"/>
              <w:outlineLvl w:val="5"/>
              <w:rPr>
                <w:rFonts w:eastAsia="Times New Roman" w:cstheme="minorHAnsi"/>
                <w:b/>
                <w:bCs/>
                <w:lang w:eastAsia="en-GB"/>
              </w:rPr>
            </w:pPr>
          </w:p>
        </w:tc>
        <w:tc>
          <w:tcPr>
            <w:tcW w:w="1356" w:type="dxa"/>
          </w:tcPr>
          <w:p w:rsidR="004E79E7" w:rsidRPr="003B58FE" w:rsidRDefault="004E79E7" w:rsidP="009A4DEF">
            <w:pPr>
              <w:spacing w:before="100"/>
              <w:jc w:val="center"/>
              <w:outlineLvl w:val="5"/>
              <w:rPr>
                <w:rFonts w:eastAsia="Times New Roman" w:cstheme="minorHAnsi"/>
                <w:b/>
                <w:bCs/>
                <w:lang w:eastAsia="en-GB"/>
              </w:rPr>
            </w:pPr>
          </w:p>
        </w:tc>
      </w:tr>
      <w:tr w:rsidR="004E79E7" w:rsidRPr="003B58FE" w:rsidTr="00643B75">
        <w:tc>
          <w:tcPr>
            <w:tcW w:w="6123" w:type="dxa"/>
          </w:tcPr>
          <w:p w:rsidR="004E79E7" w:rsidRPr="003B58FE" w:rsidRDefault="009B75F0" w:rsidP="009A4DEF">
            <w:pPr>
              <w:spacing w:before="100" w:beforeAutospacing="1" w:after="100" w:afterAutospacing="1"/>
              <w:rPr>
                <w:rFonts w:eastAsia="Times New Roman" w:cstheme="minorHAnsi"/>
                <w:lang w:eastAsia="en-GB"/>
              </w:rPr>
            </w:pPr>
            <w:r w:rsidRPr="009B75F0">
              <w:rPr>
                <w:rFonts w:eastAsia="Times New Roman" w:cstheme="minorHAnsi"/>
                <w:lang w:eastAsia="en-GB"/>
              </w:rPr>
              <w:t>Ability to work with a wide range of internal and external stakeholders to deliver high quality services.</w:t>
            </w:r>
          </w:p>
        </w:tc>
        <w:tc>
          <w:tcPr>
            <w:tcW w:w="1537" w:type="dxa"/>
          </w:tcPr>
          <w:p w:rsidR="004E79E7" w:rsidRPr="003B58FE" w:rsidRDefault="00E018E7" w:rsidP="009A4DEF">
            <w:pPr>
              <w:spacing w:before="100" w:beforeAutospacing="1" w:after="100" w:afterAutospacing="1"/>
              <w:jc w:val="center"/>
              <w:rPr>
                <w:rFonts w:eastAsia="Times New Roman" w:cstheme="minorHAnsi"/>
                <w:lang w:eastAsia="en-GB"/>
              </w:rPr>
            </w:pPr>
            <w:r>
              <w:rPr>
                <w:rFonts w:eastAsia="Times New Roman" w:cstheme="minorHAnsi"/>
                <w:lang w:eastAsia="en-GB"/>
              </w:rPr>
              <w:t>E</w:t>
            </w:r>
          </w:p>
        </w:tc>
        <w:tc>
          <w:tcPr>
            <w:tcW w:w="1356" w:type="dxa"/>
          </w:tcPr>
          <w:p w:rsidR="004E79E7" w:rsidRPr="003B58FE" w:rsidRDefault="00E018E7" w:rsidP="009A4DEF">
            <w:pPr>
              <w:spacing w:before="100" w:beforeAutospacing="1" w:after="100" w:afterAutospacing="1"/>
              <w:jc w:val="center"/>
              <w:rPr>
                <w:rFonts w:eastAsia="Times New Roman" w:cstheme="minorHAnsi"/>
                <w:lang w:eastAsia="en-GB"/>
              </w:rPr>
            </w:pPr>
            <w:r>
              <w:rPr>
                <w:rFonts w:eastAsia="Times New Roman" w:cstheme="minorHAnsi"/>
                <w:lang w:eastAsia="en-GB"/>
              </w:rPr>
              <w:t>A/I</w:t>
            </w:r>
          </w:p>
        </w:tc>
      </w:tr>
      <w:tr w:rsidR="004E79E7" w:rsidRPr="003B58FE" w:rsidTr="00643B75">
        <w:tc>
          <w:tcPr>
            <w:tcW w:w="6123" w:type="dxa"/>
          </w:tcPr>
          <w:p w:rsidR="004E79E7" w:rsidRPr="003B58FE" w:rsidRDefault="009B75F0" w:rsidP="009A4DEF">
            <w:pPr>
              <w:spacing w:before="100" w:beforeAutospacing="1" w:after="100" w:afterAutospacing="1"/>
              <w:rPr>
                <w:rFonts w:eastAsia="Times New Roman" w:cstheme="minorHAnsi"/>
                <w:lang w:eastAsia="en-GB"/>
              </w:rPr>
            </w:pPr>
            <w:r>
              <w:rPr>
                <w:rFonts w:eastAsia="Times New Roman" w:cstheme="minorHAnsi"/>
                <w:lang w:eastAsia="en-GB"/>
              </w:rPr>
              <w:t xml:space="preserve">Excellent IT and technology skills, </w:t>
            </w:r>
            <w:r w:rsidRPr="009B75F0">
              <w:rPr>
                <w:rFonts w:eastAsia="Times New Roman" w:cstheme="minorHAnsi"/>
                <w:lang w:eastAsia="en-GB"/>
              </w:rPr>
              <w:t xml:space="preserve"> including database analysis </w:t>
            </w:r>
            <w:r>
              <w:rPr>
                <w:rFonts w:eastAsia="Times New Roman" w:cstheme="minorHAnsi"/>
                <w:lang w:eastAsia="en-GB"/>
              </w:rPr>
              <w:t xml:space="preserve">skills </w:t>
            </w:r>
          </w:p>
        </w:tc>
        <w:tc>
          <w:tcPr>
            <w:tcW w:w="1537" w:type="dxa"/>
          </w:tcPr>
          <w:p w:rsidR="004E79E7" w:rsidRPr="003B58FE" w:rsidRDefault="00E018E7" w:rsidP="009A4DEF">
            <w:pPr>
              <w:spacing w:before="100" w:beforeAutospacing="1" w:after="100" w:afterAutospacing="1"/>
              <w:jc w:val="center"/>
              <w:rPr>
                <w:rFonts w:eastAsia="Times New Roman" w:cstheme="minorHAnsi"/>
                <w:lang w:eastAsia="en-GB"/>
              </w:rPr>
            </w:pPr>
            <w:r>
              <w:rPr>
                <w:rFonts w:eastAsia="Times New Roman" w:cstheme="minorHAnsi"/>
                <w:lang w:eastAsia="en-GB"/>
              </w:rPr>
              <w:t>E</w:t>
            </w:r>
          </w:p>
        </w:tc>
        <w:tc>
          <w:tcPr>
            <w:tcW w:w="1356" w:type="dxa"/>
          </w:tcPr>
          <w:p w:rsidR="004E79E7" w:rsidRPr="003B58FE" w:rsidRDefault="00E018E7" w:rsidP="009A4DEF">
            <w:pPr>
              <w:spacing w:before="100" w:beforeAutospacing="1" w:after="100" w:afterAutospacing="1"/>
              <w:jc w:val="center"/>
              <w:rPr>
                <w:rFonts w:eastAsia="Times New Roman" w:cstheme="minorHAnsi"/>
                <w:lang w:eastAsia="en-GB"/>
              </w:rPr>
            </w:pPr>
            <w:r>
              <w:rPr>
                <w:rFonts w:eastAsia="Times New Roman" w:cstheme="minorHAnsi"/>
                <w:lang w:eastAsia="en-GB"/>
              </w:rPr>
              <w:t>A/I</w:t>
            </w:r>
          </w:p>
        </w:tc>
      </w:tr>
      <w:tr w:rsidR="004E79E7" w:rsidRPr="003B58FE" w:rsidTr="00643B75">
        <w:tc>
          <w:tcPr>
            <w:tcW w:w="6123" w:type="dxa"/>
          </w:tcPr>
          <w:p w:rsidR="004E79E7" w:rsidRPr="003B58FE" w:rsidRDefault="009B75F0" w:rsidP="009A4DEF">
            <w:pPr>
              <w:spacing w:before="100" w:beforeAutospacing="1" w:after="100" w:afterAutospacing="1"/>
              <w:rPr>
                <w:rFonts w:eastAsia="Times New Roman" w:cstheme="minorHAnsi"/>
                <w:lang w:eastAsia="en-GB"/>
              </w:rPr>
            </w:pPr>
            <w:r w:rsidRPr="009B75F0">
              <w:rPr>
                <w:rFonts w:eastAsia="Times New Roman" w:cstheme="minorHAnsi"/>
                <w:lang w:eastAsia="en-GB"/>
              </w:rPr>
              <w:t>Proven track record of successful delivery of one to one guidance and facilitation of interactive group sessions</w:t>
            </w:r>
          </w:p>
        </w:tc>
        <w:tc>
          <w:tcPr>
            <w:tcW w:w="1537" w:type="dxa"/>
          </w:tcPr>
          <w:p w:rsidR="004E79E7" w:rsidRPr="003B58FE" w:rsidRDefault="00E018E7" w:rsidP="009A4DEF">
            <w:pPr>
              <w:spacing w:before="100" w:beforeAutospacing="1" w:after="100" w:afterAutospacing="1"/>
              <w:jc w:val="center"/>
              <w:rPr>
                <w:rFonts w:eastAsia="Times New Roman" w:cstheme="minorHAnsi"/>
                <w:lang w:eastAsia="en-GB"/>
              </w:rPr>
            </w:pPr>
            <w:r>
              <w:rPr>
                <w:rFonts w:eastAsia="Times New Roman" w:cstheme="minorHAnsi"/>
                <w:lang w:eastAsia="en-GB"/>
              </w:rPr>
              <w:t>E</w:t>
            </w:r>
          </w:p>
        </w:tc>
        <w:tc>
          <w:tcPr>
            <w:tcW w:w="1356" w:type="dxa"/>
          </w:tcPr>
          <w:p w:rsidR="004E79E7" w:rsidRPr="003B58FE" w:rsidRDefault="00E018E7" w:rsidP="009A4DEF">
            <w:pPr>
              <w:spacing w:before="100" w:beforeAutospacing="1" w:after="100" w:afterAutospacing="1"/>
              <w:jc w:val="center"/>
              <w:rPr>
                <w:rFonts w:eastAsia="Times New Roman" w:cstheme="minorHAnsi"/>
                <w:lang w:eastAsia="en-GB"/>
              </w:rPr>
            </w:pPr>
            <w:r>
              <w:rPr>
                <w:rFonts w:eastAsia="Times New Roman" w:cstheme="minorHAnsi"/>
                <w:lang w:eastAsia="en-GB"/>
              </w:rPr>
              <w:t>A/I</w:t>
            </w:r>
          </w:p>
        </w:tc>
      </w:tr>
      <w:tr w:rsidR="004E79E7" w:rsidRPr="003B58FE" w:rsidTr="00643B75">
        <w:tc>
          <w:tcPr>
            <w:tcW w:w="6123" w:type="dxa"/>
          </w:tcPr>
          <w:p w:rsidR="004E79E7" w:rsidRPr="003B58FE" w:rsidRDefault="009B75F0" w:rsidP="009A4DEF">
            <w:pPr>
              <w:spacing w:before="100" w:beforeAutospacing="1" w:after="100" w:afterAutospacing="1"/>
              <w:rPr>
                <w:rFonts w:eastAsia="Times New Roman" w:cstheme="minorHAnsi"/>
                <w:lang w:eastAsia="en-GB"/>
              </w:rPr>
            </w:pPr>
            <w:r w:rsidRPr="009B75F0">
              <w:rPr>
                <w:rFonts w:eastAsia="Times New Roman" w:cstheme="minorHAnsi"/>
                <w:lang w:eastAsia="en-GB"/>
              </w:rPr>
              <w:t>Strong communication skills in all forms</w:t>
            </w:r>
          </w:p>
        </w:tc>
        <w:tc>
          <w:tcPr>
            <w:tcW w:w="1537" w:type="dxa"/>
          </w:tcPr>
          <w:p w:rsidR="004E79E7" w:rsidRPr="003B58FE" w:rsidRDefault="00E018E7" w:rsidP="009A4DEF">
            <w:pPr>
              <w:spacing w:before="100" w:beforeAutospacing="1" w:after="100" w:afterAutospacing="1"/>
              <w:jc w:val="center"/>
              <w:rPr>
                <w:rFonts w:eastAsia="Times New Roman" w:cstheme="minorHAnsi"/>
                <w:lang w:eastAsia="en-GB"/>
              </w:rPr>
            </w:pPr>
            <w:r>
              <w:rPr>
                <w:rFonts w:eastAsia="Times New Roman" w:cstheme="minorHAnsi"/>
                <w:lang w:eastAsia="en-GB"/>
              </w:rPr>
              <w:t>E</w:t>
            </w:r>
          </w:p>
        </w:tc>
        <w:tc>
          <w:tcPr>
            <w:tcW w:w="1356" w:type="dxa"/>
          </w:tcPr>
          <w:p w:rsidR="004E79E7" w:rsidRPr="003B58FE" w:rsidRDefault="00E018E7" w:rsidP="009A4DEF">
            <w:pPr>
              <w:spacing w:before="100" w:beforeAutospacing="1" w:after="100" w:afterAutospacing="1"/>
              <w:jc w:val="center"/>
              <w:rPr>
                <w:rFonts w:eastAsia="Times New Roman" w:cstheme="minorHAnsi"/>
                <w:lang w:eastAsia="en-GB"/>
              </w:rPr>
            </w:pPr>
            <w:r>
              <w:rPr>
                <w:rFonts w:eastAsia="Times New Roman" w:cstheme="minorHAnsi"/>
                <w:lang w:eastAsia="en-GB"/>
              </w:rPr>
              <w:t>A/I</w:t>
            </w:r>
          </w:p>
        </w:tc>
      </w:tr>
      <w:tr w:rsidR="004E79E7" w:rsidRPr="003B58FE" w:rsidTr="00643B75">
        <w:tc>
          <w:tcPr>
            <w:tcW w:w="6123" w:type="dxa"/>
          </w:tcPr>
          <w:p w:rsidR="004E79E7" w:rsidRPr="00B64CD1" w:rsidRDefault="006311AD" w:rsidP="009A4DEF">
            <w:pPr>
              <w:autoSpaceDE w:val="0"/>
              <w:autoSpaceDN w:val="0"/>
              <w:adjustRightInd w:val="0"/>
              <w:rPr>
                <w:rFonts w:eastAsiaTheme="minorEastAsia" w:cs="Segoe UI"/>
                <w:lang w:eastAsia="en-GB"/>
              </w:rPr>
            </w:pPr>
            <w:r w:rsidRPr="006311AD">
              <w:rPr>
                <w:rFonts w:eastAsiaTheme="minorEastAsia" w:cs="Segoe UI"/>
                <w:lang w:eastAsia="en-GB"/>
              </w:rPr>
              <w:t>Strong project management skills</w:t>
            </w:r>
          </w:p>
        </w:tc>
        <w:tc>
          <w:tcPr>
            <w:tcW w:w="1537" w:type="dxa"/>
          </w:tcPr>
          <w:p w:rsidR="004E79E7" w:rsidRPr="003B58FE" w:rsidRDefault="00E018E7" w:rsidP="009A4DEF">
            <w:pPr>
              <w:spacing w:before="100" w:beforeAutospacing="1" w:after="100" w:afterAutospacing="1"/>
              <w:jc w:val="center"/>
              <w:rPr>
                <w:rFonts w:eastAsia="Times New Roman" w:cstheme="minorHAnsi"/>
                <w:lang w:eastAsia="en-GB"/>
              </w:rPr>
            </w:pPr>
            <w:r>
              <w:rPr>
                <w:rFonts w:eastAsia="Times New Roman" w:cstheme="minorHAnsi"/>
                <w:lang w:eastAsia="en-GB"/>
              </w:rPr>
              <w:t>D</w:t>
            </w:r>
          </w:p>
        </w:tc>
        <w:tc>
          <w:tcPr>
            <w:tcW w:w="1356" w:type="dxa"/>
          </w:tcPr>
          <w:p w:rsidR="004E79E7" w:rsidRPr="003B58FE" w:rsidRDefault="00E018E7" w:rsidP="009A4DEF">
            <w:pPr>
              <w:spacing w:before="100" w:beforeAutospacing="1" w:after="100" w:afterAutospacing="1"/>
              <w:jc w:val="center"/>
              <w:rPr>
                <w:rFonts w:eastAsia="Times New Roman" w:cstheme="minorHAnsi"/>
                <w:lang w:eastAsia="en-GB"/>
              </w:rPr>
            </w:pPr>
            <w:r>
              <w:rPr>
                <w:rFonts w:eastAsia="Times New Roman" w:cstheme="minorHAnsi"/>
                <w:lang w:eastAsia="en-GB"/>
              </w:rPr>
              <w:t>A/I</w:t>
            </w:r>
          </w:p>
        </w:tc>
      </w:tr>
      <w:tr w:rsidR="004E79E7" w:rsidRPr="003B58FE" w:rsidTr="00643B75">
        <w:tc>
          <w:tcPr>
            <w:tcW w:w="6123" w:type="dxa"/>
          </w:tcPr>
          <w:p w:rsidR="004E79E7" w:rsidRPr="00B64CD1" w:rsidRDefault="004E79E7" w:rsidP="009A4DEF">
            <w:pPr>
              <w:autoSpaceDE w:val="0"/>
              <w:autoSpaceDN w:val="0"/>
              <w:adjustRightInd w:val="0"/>
              <w:rPr>
                <w:rFonts w:eastAsiaTheme="minorEastAsia" w:cs="Segoe UI"/>
                <w:lang w:eastAsia="en-GB"/>
              </w:rPr>
            </w:pPr>
          </w:p>
        </w:tc>
        <w:tc>
          <w:tcPr>
            <w:tcW w:w="1537" w:type="dxa"/>
          </w:tcPr>
          <w:p w:rsidR="004E79E7" w:rsidRPr="003B58FE" w:rsidRDefault="004E79E7" w:rsidP="009A4DEF">
            <w:pPr>
              <w:spacing w:before="100" w:beforeAutospacing="1" w:after="100" w:afterAutospacing="1"/>
              <w:jc w:val="center"/>
              <w:rPr>
                <w:rFonts w:eastAsia="Times New Roman" w:cstheme="minorHAnsi"/>
                <w:lang w:eastAsia="en-GB"/>
              </w:rPr>
            </w:pPr>
          </w:p>
        </w:tc>
        <w:tc>
          <w:tcPr>
            <w:tcW w:w="1356" w:type="dxa"/>
          </w:tcPr>
          <w:p w:rsidR="004E79E7" w:rsidRPr="003B58FE" w:rsidRDefault="004E79E7" w:rsidP="009A4DEF">
            <w:pPr>
              <w:spacing w:before="100" w:beforeAutospacing="1" w:after="100" w:afterAutospacing="1"/>
              <w:jc w:val="center"/>
              <w:rPr>
                <w:rFonts w:eastAsia="Times New Roman" w:cstheme="minorHAnsi"/>
                <w:lang w:eastAsia="en-GB"/>
              </w:rPr>
            </w:pPr>
          </w:p>
        </w:tc>
      </w:tr>
      <w:tr w:rsidR="004E79E7" w:rsidRPr="003B58FE" w:rsidTr="00643B75">
        <w:tc>
          <w:tcPr>
            <w:tcW w:w="6123" w:type="dxa"/>
          </w:tcPr>
          <w:p w:rsidR="004E79E7" w:rsidRPr="003B58FE" w:rsidRDefault="004E79E7" w:rsidP="009A4DEF">
            <w:pPr>
              <w:spacing w:before="100"/>
              <w:outlineLvl w:val="5"/>
              <w:rPr>
                <w:rFonts w:eastAsia="Times New Roman" w:cstheme="minorHAnsi"/>
                <w:b/>
                <w:bCs/>
                <w:lang w:eastAsia="en-GB"/>
              </w:rPr>
            </w:pPr>
            <w:r w:rsidRPr="003B58FE">
              <w:rPr>
                <w:rFonts w:eastAsia="Times New Roman" w:cstheme="minorHAnsi"/>
                <w:b/>
                <w:bCs/>
                <w:lang w:eastAsia="en-GB"/>
              </w:rPr>
              <w:t>Experience and Knowledge</w:t>
            </w:r>
          </w:p>
        </w:tc>
        <w:tc>
          <w:tcPr>
            <w:tcW w:w="1537" w:type="dxa"/>
          </w:tcPr>
          <w:p w:rsidR="004E79E7" w:rsidRPr="003B58FE" w:rsidRDefault="004E79E7" w:rsidP="009A4DEF">
            <w:pPr>
              <w:spacing w:before="100"/>
              <w:jc w:val="center"/>
              <w:outlineLvl w:val="5"/>
              <w:rPr>
                <w:rFonts w:eastAsia="Times New Roman" w:cstheme="minorHAnsi"/>
                <w:b/>
                <w:bCs/>
                <w:lang w:eastAsia="en-GB"/>
              </w:rPr>
            </w:pPr>
          </w:p>
        </w:tc>
        <w:tc>
          <w:tcPr>
            <w:tcW w:w="1356" w:type="dxa"/>
          </w:tcPr>
          <w:p w:rsidR="004E79E7" w:rsidRPr="003B58FE" w:rsidRDefault="004E79E7" w:rsidP="009A4DEF">
            <w:pPr>
              <w:spacing w:before="100"/>
              <w:jc w:val="center"/>
              <w:outlineLvl w:val="5"/>
              <w:rPr>
                <w:rFonts w:eastAsia="Times New Roman" w:cstheme="minorHAnsi"/>
                <w:b/>
                <w:bCs/>
                <w:lang w:eastAsia="en-GB"/>
              </w:rPr>
            </w:pPr>
          </w:p>
        </w:tc>
      </w:tr>
      <w:tr w:rsidR="004E79E7" w:rsidRPr="003B58FE" w:rsidTr="00643B75">
        <w:tc>
          <w:tcPr>
            <w:tcW w:w="6123" w:type="dxa"/>
          </w:tcPr>
          <w:p w:rsidR="004E79E7" w:rsidRPr="003B58FE" w:rsidRDefault="009B75F0" w:rsidP="006311AD">
            <w:pPr>
              <w:spacing w:before="100" w:beforeAutospacing="1" w:after="100" w:afterAutospacing="1"/>
              <w:rPr>
                <w:rFonts w:eastAsia="Times New Roman" w:cstheme="minorHAnsi"/>
                <w:lang w:eastAsia="en-GB"/>
              </w:rPr>
            </w:pPr>
            <w:r w:rsidRPr="009B75F0">
              <w:rPr>
                <w:rFonts w:eastAsia="Times New Roman" w:cstheme="minorHAnsi"/>
                <w:lang w:eastAsia="en-GB"/>
              </w:rPr>
              <w:t xml:space="preserve">A detailed understanding of the issues </w:t>
            </w:r>
            <w:r w:rsidR="006311AD">
              <w:rPr>
                <w:rFonts w:eastAsia="Times New Roman" w:cstheme="minorHAnsi"/>
                <w:lang w:eastAsia="en-GB"/>
              </w:rPr>
              <w:t xml:space="preserve">and opportunities </w:t>
            </w:r>
            <w:r w:rsidRPr="009B75F0">
              <w:rPr>
                <w:rFonts w:eastAsia="Times New Roman" w:cstheme="minorHAnsi"/>
                <w:lang w:eastAsia="en-GB"/>
              </w:rPr>
              <w:t>which people face when ac</w:t>
            </w:r>
            <w:r w:rsidR="006311AD">
              <w:rPr>
                <w:rFonts w:eastAsia="Times New Roman" w:cstheme="minorHAnsi"/>
                <w:lang w:eastAsia="en-GB"/>
              </w:rPr>
              <w:t>cessing post-16 study education.</w:t>
            </w:r>
          </w:p>
        </w:tc>
        <w:tc>
          <w:tcPr>
            <w:tcW w:w="1537" w:type="dxa"/>
          </w:tcPr>
          <w:p w:rsidR="004E79E7" w:rsidRPr="003B58FE" w:rsidRDefault="00E018E7" w:rsidP="009A4DEF">
            <w:pPr>
              <w:spacing w:before="100" w:beforeAutospacing="1" w:after="100" w:afterAutospacing="1"/>
              <w:jc w:val="center"/>
              <w:rPr>
                <w:rFonts w:eastAsia="Times New Roman" w:cstheme="minorHAnsi"/>
                <w:lang w:eastAsia="en-GB"/>
              </w:rPr>
            </w:pPr>
            <w:r>
              <w:rPr>
                <w:rFonts w:eastAsia="Times New Roman" w:cstheme="minorHAnsi"/>
                <w:lang w:eastAsia="en-GB"/>
              </w:rPr>
              <w:t>E</w:t>
            </w:r>
          </w:p>
        </w:tc>
        <w:tc>
          <w:tcPr>
            <w:tcW w:w="1356" w:type="dxa"/>
          </w:tcPr>
          <w:p w:rsidR="004E79E7" w:rsidRPr="003B58FE" w:rsidRDefault="00E018E7" w:rsidP="009A4DEF">
            <w:pPr>
              <w:spacing w:before="100" w:beforeAutospacing="1" w:after="100" w:afterAutospacing="1"/>
              <w:jc w:val="center"/>
              <w:rPr>
                <w:rFonts w:eastAsia="Times New Roman" w:cstheme="minorHAnsi"/>
                <w:lang w:eastAsia="en-GB"/>
              </w:rPr>
            </w:pPr>
            <w:r>
              <w:rPr>
                <w:rFonts w:eastAsia="Times New Roman" w:cstheme="minorHAnsi"/>
                <w:lang w:eastAsia="en-GB"/>
              </w:rPr>
              <w:t>A/I</w:t>
            </w:r>
          </w:p>
        </w:tc>
      </w:tr>
      <w:tr w:rsidR="004E79E7" w:rsidRPr="00B64CD1" w:rsidTr="00643B75">
        <w:tc>
          <w:tcPr>
            <w:tcW w:w="6123" w:type="dxa"/>
          </w:tcPr>
          <w:p w:rsidR="004E79E7" w:rsidRPr="00B64CD1" w:rsidRDefault="009B75F0" w:rsidP="009A4DEF">
            <w:pPr>
              <w:autoSpaceDE w:val="0"/>
              <w:autoSpaceDN w:val="0"/>
              <w:adjustRightInd w:val="0"/>
              <w:rPr>
                <w:rFonts w:eastAsiaTheme="minorEastAsia" w:cs="Segoe UI"/>
                <w:lang w:eastAsia="en-GB"/>
              </w:rPr>
            </w:pPr>
            <w:r w:rsidRPr="009B75F0">
              <w:rPr>
                <w:rFonts w:eastAsiaTheme="minorEastAsia" w:cs="Segoe UI"/>
                <w:lang w:eastAsia="en-GB"/>
              </w:rPr>
              <w:t xml:space="preserve">A detailed understanding of the </w:t>
            </w:r>
            <w:r w:rsidR="006311AD">
              <w:rPr>
                <w:rFonts w:eastAsiaTheme="minorEastAsia" w:cs="Segoe UI"/>
                <w:lang w:eastAsia="en-GB"/>
              </w:rPr>
              <w:t>FE Sector, including the college offer, HE and Apprenticeships.</w:t>
            </w:r>
          </w:p>
        </w:tc>
        <w:tc>
          <w:tcPr>
            <w:tcW w:w="1537" w:type="dxa"/>
          </w:tcPr>
          <w:p w:rsidR="004E79E7" w:rsidRPr="00B64CD1" w:rsidRDefault="00E018E7" w:rsidP="009A4DEF">
            <w:pPr>
              <w:spacing w:before="100"/>
              <w:jc w:val="center"/>
              <w:outlineLvl w:val="5"/>
              <w:rPr>
                <w:rFonts w:eastAsia="Times New Roman" w:cstheme="minorHAnsi"/>
                <w:bCs/>
                <w:lang w:eastAsia="en-GB"/>
              </w:rPr>
            </w:pPr>
            <w:r>
              <w:rPr>
                <w:rFonts w:eastAsia="Times New Roman" w:cstheme="minorHAnsi"/>
                <w:bCs/>
                <w:lang w:eastAsia="en-GB"/>
              </w:rPr>
              <w:t>E</w:t>
            </w:r>
          </w:p>
        </w:tc>
        <w:tc>
          <w:tcPr>
            <w:tcW w:w="1356" w:type="dxa"/>
          </w:tcPr>
          <w:p w:rsidR="004E79E7" w:rsidRPr="00B64CD1" w:rsidRDefault="00E018E7" w:rsidP="009A4DEF">
            <w:pPr>
              <w:spacing w:before="100"/>
              <w:jc w:val="center"/>
              <w:outlineLvl w:val="5"/>
              <w:rPr>
                <w:rFonts w:eastAsia="Times New Roman" w:cstheme="minorHAnsi"/>
                <w:bCs/>
                <w:lang w:eastAsia="en-GB"/>
              </w:rPr>
            </w:pPr>
            <w:r>
              <w:rPr>
                <w:rFonts w:eastAsia="Times New Roman" w:cstheme="minorHAnsi"/>
                <w:bCs/>
                <w:lang w:eastAsia="en-GB"/>
              </w:rPr>
              <w:t>A/I</w:t>
            </w:r>
          </w:p>
        </w:tc>
      </w:tr>
      <w:tr w:rsidR="004E79E7" w:rsidRPr="003B58FE" w:rsidTr="00643B75">
        <w:tc>
          <w:tcPr>
            <w:tcW w:w="6123" w:type="dxa"/>
          </w:tcPr>
          <w:p w:rsidR="004E79E7" w:rsidRPr="003B58FE" w:rsidRDefault="006311AD" w:rsidP="009B75F0">
            <w:pPr>
              <w:spacing w:before="100" w:beforeAutospacing="1" w:after="100" w:afterAutospacing="1"/>
              <w:rPr>
                <w:rFonts w:eastAsia="Times New Roman" w:cstheme="minorHAnsi"/>
                <w:lang w:eastAsia="en-GB"/>
              </w:rPr>
            </w:pPr>
            <w:r w:rsidRPr="006311AD">
              <w:rPr>
                <w:rFonts w:eastAsia="Times New Roman" w:cstheme="minorHAnsi"/>
                <w:lang w:eastAsia="en-GB"/>
              </w:rPr>
              <w:t>Significant experience of managing and embedding an IAG service in a College or Private Training Provider</w:t>
            </w:r>
            <w:r>
              <w:rPr>
                <w:rFonts w:eastAsia="Times New Roman" w:cstheme="minorHAnsi"/>
                <w:lang w:eastAsia="en-GB"/>
              </w:rPr>
              <w:t xml:space="preserve"> to deliver successful outcomes.</w:t>
            </w:r>
          </w:p>
        </w:tc>
        <w:tc>
          <w:tcPr>
            <w:tcW w:w="1537" w:type="dxa"/>
          </w:tcPr>
          <w:p w:rsidR="004E79E7" w:rsidRPr="003B58FE" w:rsidRDefault="00E018E7" w:rsidP="009A4DEF">
            <w:pPr>
              <w:spacing w:before="100" w:beforeAutospacing="1" w:after="100" w:afterAutospacing="1"/>
              <w:jc w:val="center"/>
              <w:rPr>
                <w:rFonts w:eastAsia="Times New Roman" w:cstheme="minorHAnsi"/>
                <w:lang w:eastAsia="en-GB"/>
              </w:rPr>
            </w:pPr>
            <w:r>
              <w:rPr>
                <w:rFonts w:eastAsia="Times New Roman" w:cstheme="minorHAnsi"/>
                <w:lang w:eastAsia="en-GB"/>
              </w:rPr>
              <w:t>E</w:t>
            </w:r>
          </w:p>
        </w:tc>
        <w:tc>
          <w:tcPr>
            <w:tcW w:w="1356" w:type="dxa"/>
          </w:tcPr>
          <w:p w:rsidR="004E79E7" w:rsidRPr="003B58FE" w:rsidRDefault="00E018E7" w:rsidP="009A4DEF">
            <w:pPr>
              <w:spacing w:before="100" w:beforeAutospacing="1" w:after="100" w:afterAutospacing="1"/>
              <w:jc w:val="center"/>
              <w:rPr>
                <w:rFonts w:eastAsia="Times New Roman" w:cstheme="minorHAnsi"/>
                <w:lang w:eastAsia="en-GB"/>
              </w:rPr>
            </w:pPr>
            <w:r>
              <w:rPr>
                <w:rFonts w:eastAsia="Times New Roman" w:cstheme="minorHAnsi"/>
                <w:lang w:eastAsia="en-GB"/>
              </w:rPr>
              <w:t>A/I</w:t>
            </w:r>
          </w:p>
        </w:tc>
      </w:tr>
      <w:tr w:rsidR="004E79E7" w:rsidRPr="003B58FE" w:rsidTr="00643B75">
        <w:tc>
          <w:tcPr>
            <w:tcW w:w="6123" w:type="dxa"/>
          </w:tcPr>
          <w:p w:rsidR="004E79E7" w:rsidRPr="003B58FE" w:rsidRDefault="009B75F0" w:rsidP="009A4DEF">
            <w:pPr>
              <w:spacing w:before="100" w:beforeAutospacing="1" w:after="100" w:afterAutospacing="1"/>
              <w:rPr>
                <w:rFonts w:eastAsia="Times New Roman" w:cstheme="minorHAnsi"/>
                <w:lang w:eastAsia="en-GB"/>
              </w:rPr>
            </w:pPr>
            <w:r w:rsidRPr="009B75F0">
              <w:rPr>
                <w:rFonts w:eastAsia="Times New Roman" w:cstheme="minorHAnsi"/>
                <w:lang w:eastAsia="en-GB"/>
              </w:rPr>
              <w:t xml:space="preserve">A sound understanding </w:t>
            </w:r>
            <w:r w:rsidR="006311AD">
              <w:rPr>
                <w:rFonts w:eastAsia="Times New Roman" w:cstheme="minorHAnsi"/>
                <w:lang w:eastAsia="en-GB"/>
              </w:rPr>
              <w:t>with evidence of implementing</w:t>
            </w:r>
            <w:r w:rsidRPr="009B75F0">
              <w:rPr>
                <w:rFonts w:eastAsia="Times New Roman" w:cstheme="minorHAnsi"/>
                <w:lang w:eastAsia="en-GB"/>
              </w:rPr>
              <w:t xml:space="preserve"> National policy relating</w:t>
            </w:r>
            <w:r>
              <w:rPr>
                <w:rFonts w:eastAsia="Times New Roman" w:cstheme="minorHAnsi"/>
                <w:lang w:eastAsia="en-GB"/>
              </w:rPr>
              <w:t xml:space="preserve"> to careers advice and guidance at post 16.</w:t>
            </w:r>
          </w:p>
        </w:tc>
        <w:tc>
          <w:tcPr>
            <w:tcW w:w="1537" w:type="dxa"/>
          </w:tcPr>
          <w:p w:rsidR="004E79E7" w:rsidRPr="003B58FE" w:rsidRDefault="00E018E7" w:rsidP="009A4DEF">
            <w:pPr>
              <w:spacing w:before="100" w:beforeAutospacing="1" w:after="100" w:afterAutospacing="1"/>
              <w:jc w:val="center"/>
              <w:rPr>
                <w:rFonts w:eastAsia="Times New Roman" w:cstheme="minorHAnsi"/>
                <w:lang w:eastAsia="en-GB"/>
              </w:rPr>
            </w:pPr>
            <w:r>
              <w:rPr>
                <w:rFonts w:eastAsia="Times New Roman" w:cstheme="minorHAnsi"/>
                <w:lang w:eastAsia="en-GB"/>
              </w:rPr>
              <w:t>E</w:t>
            </w:r>
          </w:p>
        </w:tc>
        <w:tc>
          <w:tcPr>
            <w:tcW w:w="1356" w:type="dxa"/>
          </w:tcPr>
          <w:p w:rsidR="004E79E7" w:rsidRPr="003B58FE" w:rsidRDefault="00E018E7" w:rsidP="009A4DEF">
            <w:pPr>
              <w:spacing w:before="100" w:beforeAutospacing="1" w:after="100" w:afterAutospacing="1"/>
              <w:jc w:val="center"/>
              <w:rPr>
                <w:rFonts w:eastAsia="Times New Roman" w:cstheme="minorHAnsi"/>
                <w:lang w:eastAsia="en-GB"/>
              </w:rPr>
            </w:pPr>
            <w:r>
              <w:rPr>
                <w:rFonts w:eastAsia="Times New Roman" w:cstheme="minorHAnsi"/>
                <w:lang w:eastAsia="en-GB"/>
              </w:rPr>
              <w:t>A/I</w:t>
            </w:r>
          </w:p>
        </w:tc>
      </w:tr>
      <w:tr w:rsidR="004E79E7" w:rsidRPr="003B58FE" w:rsidTr="00643B75">
        <w:tc>
          <w:tcPr>
            <w:tcW w:w="6123" w:type="dxa"/>
          </w:tcPr>
          <w:p w:rsidR="004E79E7" w:rsidRPr="003B58FE" w:rsidRDefault="006311AD" w:rsidP="009A4DEF">
            <w:pPr>
              <w:spacing w:before="100" w:beforeAutospacing="1" w:after="100" w:afterAutospacing="1"/>
              <w:rPr>
                <w:rFonts w:eastAsia="Times New Roman" w:cstheme="minorHAnsi"/>
                <w:lang w:eastAsia="en-GB"/>
              </w:rPr>
            </w:pPr>
            <w:r>
              <w:rPr>
                <w:rFonts w:eastAsia="Times New Roman" w:cstheme="minorHAnsi"/>
                <w:lang w:eastAsia="en-GB"/>
              </w:rPr>
              <w:t>Considerable e</w:t>
            </w:r>
            <w:r w:rsidR="009B75F0" w:rsidRPr="009B75F0">
              <w:rPr>
                <w:rFonts w:eastAsia="Times New Roman" w:cstheme="minorHAnsi"/>
                <w:lang w:eastAsia="en-GB"/>
              </w:rPr>
              <w:t>xperience as a Careers Adviser preferably in an FE setting</w:t>
            </w:r>
          </w:p>
        </w:tc>
        <w:tc>
          <w:tcPr>
            <w:tcW w:w="1537" w:type="dxa"/>
          </w:tcPr>
          <w:p w:rsidR="004E79E7" w:rsidRPr="003B58FE" w:rsidRDefault="00E018E7" w:rsidP="009A4DEF">
            <w:pPr>
              <w:spacing w:before="100" w:beforeAutospacing="1" w:after="100" w:afterAutospacing="1"/>
              <w:jc w:val="center"/>
              <w:rPr>
                <w:rFonts w:eastAsia="Times New Roman" w:cstheme="minorHAnsi"/>
                <w:lang w:eastAsia="en-GB"/>
              </w:rPr>
            </w:pPr>
            <w:r>
              <w:rPr>
                <w:rFonts w:eastAsia="Times New Roman" w:cstheme="minorHAnsi"/>
                <w:lang w:eastAsia="en-GB"/>
              </w:rPr>
              <w:t>E</w:t>
            </w:r>
          </w:p>
        </w:tc>
        <w:tc>
          <w:tcPr>
            <w:tcW w:w="1356" w:type="dxa"/>
          </w:tcPr>
          <w:p w:rsidR="004E79E7" w:rsidRPr="003B58FE" w:rsidRDefault="00E018E7" w:rsidP="009A4DEF">
            <w:pPr>
              <w:spacing w:before="100" w:beforeAutospacing="1" w:after="100" w:afterAutospacing="1"/>
              <w:jc w:val="center"/>
              <w:rPr>
                <w:rFonts w:eastAsia="Times New Roman" w:cstheme="minorHAnsi"/>
                <w:lang w:eastAsia="en-GB"/>
              </w:rPr>
            </w:pPr>
            <w:r>
              <w:rPr>
                <w:rFonts w:eastAsia="Times New Roman" w:cstheme="minorHAnsi"/>
                <w:lang w:eastAsia="en-GB"/>
              </w:rPr>
              <w:t>A/I</w:t>
            </w:r>
          </w:p>
        </w:tc>
      </w:tr>
      <w:tr w:rsidR="004E79E7" w:rsidRPr="003B58FE" w:rsidTr="00643B75">
        <w:tc>
          <w:tcPr>
            <w:tcW w:w="6123" w:type="dxa"/>
          </w:tcPr>
          <w:p w:rsidR="004E79E7" w:rsidRPr="006311AD" w:rsidRDefault="006311AD" w:rsidP="009A4DEF">
            <w:pPr>
              <w:spacing w:before="100"/>
              <w:outlineLvl w:val="5"/>
              <w:rPr>
                <w:rFonts w:eastAsia="Times New Roman" w:cstheme="minorHAnsi"/>
                <w:bCs/>
                <w:lang w:eastAsia="en-GB"/>
              </w:rPr>
            </w:pPr>
            <w:r>
              <w:rPr>
                <w:rFonts w:eastAsia="Times New Roman" w:cstheme="minorHAnsi"/>
                <w:bCs/>
                <w:lang w:eastAsia="en-GB"/>
              </w:rPr>
              <w:t>E</w:t>
            </w:r>
            <w:r w:rsidRPr="006311AD">
              <w:rPr>
                <w:rFonts w:eastAsia="Times New Roman" w:cstheme="minorHAnsi"/>
                <w:bCs/>
                <w:lang w:eastAsia="en-GB"/>
              </w:rPr>
              <w:t>xperience of working across a large and diverse organisation</w:t>
            </w:r>
          </w:p>
        </w:tc>
        <w:tc>
          <w:tcPr>
            <w:tcW w:w="1537" w:type="dxa"/>
          </w:tcPr>
          <w:p w:rsidR="004E79E7" w:rsidRPr="00E018E7" w:rsidRDefault="00643B75" w:rsidP="009A4DEF">
            <w:pPr>
              <w:spacing w:before="100"/>
              <w:jc w:val="center"/>
              <w:outlineLvl w:val="5"/>
              <w:rPr>
                <w:rFonts w:eastAsia="Times New Roman" w:cstheme="minorHAnsi"/>
                <w:bCs/>
                <w:lang w:eastAsia="en-GB"/>
              </w:rPr>
            </w:pPr>
            <w:r w:rsidRPr="00E018E7">
              <w:rPr>
                <w:rFonts w:eastAsia="Times New Roman" w:cstheme="minorHAnsi"/>
                <w:bCs/>
                <w:lang w:eastAsia="en-GB"/>
              </w:rPr>
              <w:t>D</w:t>
            </w:r>
          </w:p>
        </w:tc>
        <w:tc>
          <w:tcPr>
            <w:tcW w:w="1356" w:type="dxa"/>
          </w:tcPr>
          <w:p w:rsidR="004E79E7" w:rsidRPr="00E018E7" w:rsidRDefault="00E018E7" w:rsidP="009A4DEF">
            <w:pPr>
              <w:spacing w:before="100"/>
              <w:jc w:val="center"/>
              <w:outlineLvl w:val="5"/>
              <w:rPr>
                <w:rFonts w:eastAsia="Times New Roman" w:cstheme="minorHAnsi"/>
                <w:bCs/>
                <w:lang w:eastAsia="en-GB"/>
              </w:rPr>
            </w:pPr>
            <w:r w:rsidRPr="00E018E7">
              <w:rPr>
                <w:rFonts w:eastAsia="Times New Roman" w:cstheme="minorHAnsi"/>
                <w:bCs/>
                <w:lang w:eastAsia="en-GB"/>
              </w:rPr>
              <w:t>A/I</w:t>
            </w:r>
          </w:p>
        </w:tc>
      </w:tr>
      <w:tr w:rsidR="004E79E7" w:rsidRPr="003B58FE" w:rsidTr="00643B75">
        <w:tc>
          <w:tcPr>
            <w:tcW w:w="6123" w:type="dxa"/>
          </w:tcPr>
          <w:p w:rsidR="004E79E7" w:rsidRPr="003B58FE" w:rsidRDefault="004E79E7" w:rsidP="009A4DEF">
            <w:pPr>
              <w:spacing w:before="100"/>
              <w:outlineLvl w:val="5"/>
              <w:rPr>
                <w:rFonts w:eastAsia="Times New Roman" w:cstheme="minorHAnsi"/>
                <w:b/>
                <w:bCs/>
                <w:lang w:eastAsia="en-GB"/>
              </w:rPr>
            </w:pPr>
            <w:r w:rsidRPr="003B58FE">
              <w:rPr>
                <w:rFonts w:eastAsia="Times New Roman" w:cstheme="minorHAnsi"/>
                <w:b/>
                <w:bCs/>
                <w:lang w:eastAsia="en-GB"/>
              </w:rPr>
              <w:t>Personal Qualities</w:t>
            </w:r>
          </w:p>
        </w:tc>
        <w:tc>
          <w:tcPr>
            <w:tcW w:w="1537" w:type="dxa"/>
          </w:tcPr>
          <w:p w:rsidR="004E79E7" w:rsidRPr="003B58FE" w:rsidRDefault="004E79E7" w:rsidP="009A4DEF">
            <w:pPr>
              <w:spacing w:before="100"/>
              <w:jc w:val="center"/>
              <w:outlineLvl w:val="5"/>
              <w:rPr>
                <w:rFonts w:eastAsia="Times New Roman" w:cstheme="minorHAnsi"/>
                <w:b/>
                <w:bCs/>
                <w:lang w:eastAsia="en-GB"/>
              </w:rPr>
            </w:pPr>
          </w:p>
        </w:tc>
        <w:tc>
          <w:tcPr>
            <w:tcW w:w="1356" w:type="dxa"/>
          </w:tcPr>
          <w:p w:rsidR="004E79E7" w:rsidRPr="003B58FE" w:rsidRDefault="004E79E7" w:rsidP="009A4DEF">
            <w:pPr>
              <w:spacing w:before="100"/>
              <w:jc w:val="center"/>
              <w:outlineLvl w:val="5"/>
              <w:rPr>
                <w:rFonts w:eastAsia="Times New Roman" w:cstheme="minorHAnsi"/>
                <w:b/>
                <w:bCs/>
                <w:lang w:eastAsia="en-GB"/>
              </w:rPr>
            </w:pPr>
          </w:p>
        </w:tc>
      </w:tr>
      <w:tr w:rsidR="004E79E7" w:rsidRPr="003B58FE" w:rsidTr="00643B75">
        <w:tc>
          <w:tcPr>
            <w:tcW w:w="6123" w:type="dxa"/>
          </w:tcPr>
          <w:p w:rsidR="004E79E7" w:rsidRPr="002D6A8E" w:rsidRDefault="00643B75" w:rsidP="009A4DEF">
            <w:pPr>
              <w:spacing w:before="100" w:beforeAutospacing="1" w:after="100" w:afterAutospacing="1"/>
              <w:jc w:val="both"/>
              <w:rPr>
                <w:rFonts w:eastAsia="Times New Roman" w:cstheme="minorHAnsi"/>
                <w:lang w:eastAsia="en-GB"/>
              </w:rPr>
            </w:pPr>
            <w:r w:rsidRPr="00F17337">
              <w:t>Highly effective colla</w:t>
            </w:r>
            <w:r>
              <w:t>borator motivated to achieve project success</w:t>
            </w:r>
          </w:p>
        </w:tc>
        <w:tc>
          <w:tcPr>
            <w:tcW w:w="1537" w:type="dxa"/>
          </w:tcPr>
          <w:p w:rsidR="004E79E7" w:rsidRPr="003B58FE" w:rsidRDefault="00E018E7" w:rsidP="009A4DEF">
            <w:pPr>
              <w:spacing w:before="100" w:beforeAutospacing="1" w:after="100" w:afterAutospacing="1"/>
              <w:jc w:val="center"/>
              <w:rPr>
                <w:rFonts w:eastAsia="Times New Roman" w:cstheme="minorHAnsi"/>
                <w:lang w:eastAsia="en-GB"/>
              </w:rPr>
            </w:pPr>
            <w:r>
              <w:rPr>
                <w:rFonts w:eastAsia="Times New Roman" w:cstheme="minorHAnsi"/>
                <w:lang w:eastAsia="en-GB"/>
              </w:rPr>
              <w:t>E</w:t>
            </w:r>
          </w:p>
        </w:tc>
        <w:tc>
          <w:tcPr>
            <w:tcW w:w="1356" w:type="dxa"/>
          </w:tcPr>
          <w:p w:rsidR="004E79E7" w:rsidRPr="003B58FE" w:rsidRDefault="00E018E7" w:rsidP="009A4DEF">
            <w:pPr>
              <w:spacing w:before="100" w:beforeAutospacing="1" w:after="100" w:afterAutospacing="1"/>
              <w:jc w:val="center"/>
              <w:rPr>
                <w:rFonts w:eastAsia="Times New Roman" w:cstheme="minorHAnsi"/>
                <w:lang w:eastAsia="en-GB"/>
              </w:rPr>
            </w:pPr>
            <w:r>
              <w:rPr>
                <w:rFonts w:eastAsia="Times New Roman" w:cstheme="minorHAnsi"/>
                <w:lang w:eastAsia="en-GB"/>
              </w:rPr>
              <w:t>A/I</w:t>
            </w:r>
          </w:p>
        </w:tc>
      </w:tr>
      <w:tr w:rsidR="00E018E7" w:rsidRPr="003B58FE" w:rsidTr="00643B75">
        <w:tc>
          <w:tcPr>
            <w:tcW w:w="6123" w:type="dxa"/>
          </w:tcPr>
          <w:p w:rsidR="00E018E7" w:rsidRPr="003B58FE" w:rsidRDefault="00E018E7" w:rsidP="00E018E7">
            <w:pPr>
              <w:tabs>
                <w:tab w:val="left" w:pos="1613"/>
              </w:tabs>
              <w:spacing w:before="100" w:beforeAutospacing="1" w:after="100" w:afterAutospacing="1"/>
              <w:rPr>
                <w:rFonts w:eastAsia="Times New Roman" w:cstheme="minorHAnsi"/>
                <w:lang w:eastAsia="en-GB"/>
              </w:rPr>
            </w:pPr>
            <w:r w:rsidRPr="00643B75">
              <w:rPr>
                <w:rFonts w:eastAsia="Times New Roman" w:cstheme="minorHAnsi"/>
                <w:lang w:eastAsia="en-GB"/>
              </w:rPr>
              <w:t>Ability to communicate effectively with staff at all levels.</w:t>
            </w:r>
            <w:r>
              <w:rPr>
                <w:rFonts w:eastAsia="Times New Roman" w:cstheme="minorHAnsi"/>
                <w:lang w:eastAsia="en-GB"/>
              </w:rPr>
              <w:tab/>
            </w:r>
          </w:p>
        </w:tc>
        <w:tc>
          <w:tcPr>
            <w:tcW w:w="1537" w:type="dxa"/>
          </w:tcPr>
          <w:p w:rsidR="00E018E7" w:rsidRPr="003B58FE" w:rsidRDefault="00E018E7" w:rsidP="00E018E7">
            <w:pPr>
              <w:spacing w:before="100" w:beforeAutospacing="1" w:after="100" w:afterAutospacing="1"/>
              <w:jc w:val="center"/>
              <w:rPr>
                <w:rFonts w:eastAsia="Times New Roman" w:cstheme="minorHAnsi"/>
                <w:lang w:eastAsia="en-GB"/>
              </w:rPr>
            </w:pPr>
            <w:r>
              <w:rPr>
                <w:rFonts w:eastAsia="Times New Roman" w:cstheme="minorHAnsi"/>
                <w:lang w:eastAsia="en-GB"/>
              </w:rPr>
              <w:t>E</w:t>
            </w:r>
          </w:p>
        </w:tc>
        <w:tc>
          <w:tcPr>
            <w:tcW w:w="1356" w:type="dxa"/>
          </w:tcPr>
          <w:p w:rsidR="00E018E7" w:rsidRPr="003B58FE" w:rsidRDefault="00E018E7" w:rsidP="00E018E7">
            <w:pPr>
              <w:spacing w:before="100" w:beforeAutospacing="1" w:after="100" w:afterAutospacing="1"/>
              <w:jc w:val="center"/>
              <w:rPr>
                <w:rFonts w:eastAsia="Times New Roman" w:cstheme="minorHAnsi"/>
                <w:lang w:eastAsia="en-GB"/>
              </w:rPr>
            </w:pPr>
            <w:r>
              <w:rPr>
                <w:rFonts w:eastAsia="Times New Roman" w:cstheme="minorHAnsi"/>
                <w:lang w:eastAsia="en-GB"/>
              </w:rPr>
              <w:t>A/I</w:t>
            </w:r>
          </w:p>
        </w:tc>
      </w:tr>
      <w:tr w:rsidR="00E018E7" w:rsidRPr="003B58FE" w:rsidTr="00643B75">
        <w:tc>
          <w:tcPr>
            <w:tcW w:w="6123" w:type="dxa"/>
          </w:tcPr>
          <w:p w:rsidR="00E018E7" w:rsidRPr="003B58FE" w:rsidRDefault="00E018E7" w:rsidP="00E018E7">
            <w:pPr>
              <w:spacing w:before="100" w:beforeAutospacing="1" w:after="100" w:afterAutospacing="1"/>
              <w:rPr>
                <w:rFonts w:eastAsia="Times New Roman" w:cstheme="minorHAnsi"/>
                <w:lang w:eastAsia="en-GB"/>
              </w:rPr>
            </w:pPr>
            <w:r w:rsidRPr="00643B75">
              <w:rPr>
                <w:rFonts w:eastAsia="Times New Roman" w:cstheme="minorHAnsi"/>
                <w:lang w:eastAsia="en-GB"/>
              </w:rPr>
              <w:t>Commitment to customer care</w:t>
            </w:r>
          </w:p>
        </w:tc>
        <w:tc>
          <w:tcPr>
            <w:tcW w:w="1537" w:type="dxa"/>
          </w:tcPr>
          <w:p w:rsidR="00E018E7" w:rsidRPr="003B58FE" w:rsidRDefault="00E018E7" w:rsidP="00E018E7">
            <w:pPr>
              <w:spacing w:before="100" w:beforeAutospacing="1" w:after="100" w:afterAutospacing="1"/>
              <w:jc w:val="center"/>
              <w:rPr>
                <w:rFonts w:eastAsia="Times New Roman" w:cstheme="minorHAnsi"/>
                <w:lang w:eastAsia="en-GB"/>
              </w:rPr>
            </w:pPr>
            <w:r>
              <w:rPr>
                <w:rFonts w:eastAsia="Times New Roman" w:cstheme="minorHAnsi"/>
                <w:lang w:eastAsia="en-GB"/>
              </w:rPr>
              <w:t>E</w:t>
            </w:r>
          </w:p>
        </w:tc>
        <w:tc>
          <w:tcPr>
            <w:tcW w:w="1356" w:type="dxa"/>
          </w:tcPr>
          <w:p w:rsidR="00E018E7" w:rsidRPr="003B58FE" w:rsidRDefault="00E018E7" w:rsidP="00E018E7">
            <w:pPr>
              <w:spacing w:before="100" w:beforeAutospacing="1" w:after="100" w:afterAutospacing="1"/>
              <w:jc w:val="center"/>
              <w:rPr>
                <w:rFonts w:eastAsia="Times New Roman" w:cstheme="minorHAnsi"/>
                <w:lang w:eastAsia="en-GB"/>
              </w:rPr>
            </w:pPr>
            <w:r>
              <w:rPr>
                <w:rFonts w:eastAsia="Times New Roman" w:cstheme="minorHAnsi"/>
                <w:lang w:eastAsia="en-GB"/>
              </w:rPr>
              <w:t>A/I</w:t>
            </w:r>
          </w:p>
        </w:tc>
      </w:tr>
      <w:tr w:rsidR="00E018E7" w:rsidRPr="003B58FE" w:rsidTr="00643B75">
        <w:tc>
          <w:tcPr>
            <w:tcW w:w="6123" w:type="dxa"/>
          </w:tcPr>
          <w:p w:rsidR="00E018E7" w:rsidRPr="003B58FE" w:rsidRDefault="00E018E7" w:rsidP="00E018E7">
            <w:pPr>
              <w:spacing w:before="100" w:beforeAutospacing="1" w:after="100" w:afterAutospacing="1"/>
              <w:rPr>
                <w:rFonts w:eastAsia="Times New Roman" w:cstheme="minorHAnsi"/>
                <w:lang w:eastAsia="en-GB"/>
              </w:rPr>
            </w:pPr>
            <w:r w:rsidRPr="00643B75">
              <w:rPr>
                <w:rFonts w:eastAsia="Times New Roman" w:cstheme="minorHAnsi"/>
                <w:lang w:eastAsia="en-GB"/>
              </w:rPr>
              <w:t>Ability to work within a team and without supervision</w:t>
            </w:r>
          </w:p>
        </w:tc>
        <w:tc>
          <w:tcPr>
            <w:tcW w:w="1537" w:type="dxa"/>
          </w:tcPr>
          <w:p w:rsidR="00E018E7" w:rsidRPr="003B58FE" w:rsidRDefault="00E018E7" w:rsidP="00E018E7">
            <w:pPr>
              <w:spacing w:before="100" w:beforeAutospacing="1" w:after="100" w:afterAutospacing="1"/>
              <w:jc w:val="center"/>
              <w:rPr>
                <w:rFonts w:eastAsia="Times New Roman" w:cstheme="minorHAnsi"/>
                <w:lang w:eastAsia="en-GB"/>
              </w:rPr>
            </w:pPr>
            <w:r>
              <w:rPr>
                <w:rFonts w:eastAsia="Times New Roman" w:cstheme="minorHAnsi"/>
                <w:lang w:eastAsia="en-GB"/>
              </w:rPr>
              <w:t>E</w:t>
            </w:r>
          </w:p>
        </w:tc>
        <w:tc>
          <w:tcPr>
            <w:tcW w:w="1356" w:type="dxa"/>
          </w:tcPr>
          <w:p w:rsidR="00E018E7" w:rsidRPr="003B58FE" w:rsidRDefault="00E018E7" w:rsidP="00E018E7">
            <w:pPr>
              <w:spacing w:before="100" w:beforeAutospacing="1" w:after="100" w:afterAutospacing="1"/>
              <w:jc w:val="center"/>
              <w:rPr>
                <w:rFonts w:eastAsia="Times New Roman" w:cstheme="minorHAnsi"/>
                <w:lang w:eastAsia="en-GB"/>
              </w:rPr>
            </w:pPr>
            <w:r>
              <w:rPr>
                <w:rFonts w:eastAsia="Times New Roman" w:cstheme="minorHAnsi"/>
                <w:lang w:eastAsia="en-GB"/>
              </w:rPr>
              <w:t>A/I</w:t>
            </w:r>
          </w:p>
        </w:tc>
      </w:tr>
      <w:tr w:rsidR="00E018E7" w:rsidRPr="003B58FE" w:rsidTr="00643B75">
        <w:tc>
          <w:tcPr>
            <w:tcW w:w="6123" w:type="dxa"/>
          </w:tcPr>
          <w:p w:rsidR="00E018E7" w:rsidRPr="003B58FE" w:rsidRDefault="00E018E7" w:rsidP="00E018E7">
            <w:pPr>
              <w:spacing w:before="100" w:beforeAutospacing="1" w:after="100" w:afterAutospacing="1"/>
              <w:rPr>
                <w:rFonts w:eastAsia="Times New Roman" w:cstheme="minorHAnsi"/>
                <w:lang w:eastAsia="en-GB"/>
              </w:rPr>
            </w:pPr>
            <w:r w:rsidRPr="00643B75">
              <w:rPr>
                <w:rFonts w:eastAsia="Times New Roman" w:cstheme="minorHAnsi"/>
                <w:lang w:eastAsia="en-GB"/>
              </w:rPr>
              <w:lastRenderedPageBreak/>
              <w:t>Ability to prioritise own and others workloads</w:t>
            </w:r>
          </w:p>
        </w:tc>
        <w:tc>
          <w:tcPr>
            <w:tcW w:w="1537" w:type="dxa"/>
          </w:tcPr>
          <w:p w:rsidR="00E018E7" w:rsidRPr="003B58FE" w:rsidRDefault="00E018E7" w:rsidP="00E018E7">
            <w:pPr>
              <w:spacing w:before="100" w:beforeAutospacing="1" w:after="100" w:afterAutospacing="1"/>
              <w:jc w:val="center"/>
              <w:rPr>
                <w:rFonts w:eastAsia="Times New Roman" w:cstheme="minorHAnsi"/>
                <w:lang w:eastAsia="en-GB"/>
              </w:rPr>
            </w:pPr>
            <w:r>
              <w:rPr>
                <w:rFonts w:eastAsia="Times New Roman" w:cstheme="minorHAnsi"/>
                <w:lang w:eastAsia="en-GB"/>
              </w:rPr>
              <w:t>E</w:t>
            </w:r>
          </w:p>
        </w:tc>
        <w:tc>
          <w:tcPr>
            <w:tcW w:w="1356" w:type="dxa"/>
          </w:tcPr>
          <w:p w:rsidR="00E018E7" w:rsidRPr="003B58FE" w:rsidRDefault="00E018E7" w:rsidP="00E018E7">
            <w:pPr>
              <w:spacing w:before="100" w:beforeAutospacing="1" w:after="100" w:afterAutospacing="1"/>
              <w:jc w:val="center"/>
              <w:rPr>
                <w:rFonts w:eastAsia="Times New Roman" w:cstheme="minorHAnsi"/>
                <w:lang w:eastAsia="en-GB"/>
              </w:rPr>
            </w:pPr>
            <w:r>
              <w:rPr>
                <w:rFonts w:eastAsia="Times New Roman" w:cstheme="minorHAnsi"/>
                <w:lang w:eastAsia="en-GB"/>
              </w:rPr>
              <w:t>A/I</w:t>
            </w:r>
          </w:p>
        </w:tc>
      </w:tr>
      <w:tr w:rsidR="00E018E7" w:rsidRPr="003B58FE" w:rsidTr="00643B75">
        <w:tc>
          <w:tcPr>
            <w:tcW w:w="6123" w:type="dxa"/>
          </w:tcPr>
          <w:p w:rsidR="00E018E7" w:rsidRPr="003B58FE" w:rsidRDefault="00E018E7" w:rsidP="00E018E7">
            <w:pPr>
              <w:spacing w:before="100" w:beforeAutospacing="1" w:after="100" w:afterAutospacing="1"/>
              <w:rPr>
                <w:rFonts w:eastAsia="Times New Roman" w:cstheme="minorHAnsi"/>
                <w:lang w:eastAsia="en-GB"/>
              </w:rPr>
            </w:pPr>
            <w:r w:rsidRPr="00643B75">
              <w:rPr>
                <w:rFonts w:eastAsia="Times New Roman" w:cstheme="minorHAnsi"/>
                <w:lang w:eastAsia="en-GB"/>
              </w:rPr>
              <w:t>Ability to problem solve</w:t>
            </w:r>
          </w:p>
        </w:tc>
        <w:tc>
          <w:tcPr>
            <w:tcW w:w="1537" w:type="dxa"/>
          </w:tcPr>
          <w:p w:rsidR="00E018E7" w:rsidRPr="003B58FE" w:rsidRDefault="00E018E7" w:rsidP="00E018E7">
            <w:pPr>
              <w:spacing w:before="100" w:beforeAutospacing="1" w:after="100" w:afterAutospacing="1"/>
              <w:jc w:val="center"/>
              <w:rPr>
                <w:rFonts w:eastAsia="Times New Roman" w:cstheme="minorHAnsi"/>
                <w:lang w:eastAsia="en-GB"/>
              </w:rPr>
            </w:pPr>
            <w:r>
              <w:rPr>
                <w:rFonts w:eastAsia="Times New Roman" w:cstheme="minorHAnsi"/>
                <w:lang w:eastAsia="en-GB"/>
              </w:rPr>
              <w:t>E</w:t>
            </w:r>
          </w:p>
        </w:tc>
        <w:tc>
          <w:tcPr>
            <w:tcW w:w="1356" w:type="dxa"/>
          </w:tcPr>
          <w:p w:rsidR="00E018E7" w:rsidRPr="003B58FE" w:rsidRDefault="00E018E7" w:rsidP="00E018E7">
            <w:pPr>
              <w:spacing w:before="100" w:beforeAutospacing="1" w:after="100" w:afterAutospacing="1"/>
              <w:jc w:val="center"/>
              <w:rPr>
                <w:rFonts w:eastAsia="Times New Roman" w:cstheme="minorHAnsi"/>
                <w:lang w:eastAsia="en-GB"/>
              </w:rPr>
            </w:pPr>
            <w:r>
              <w:rPr>
                <w:rFonts w:eastAsia="Times New Roman" w:cstheme="minorHAnsi"/>
                <w:lang w:eastAsia="en-GB"/>
              </w:rPr>
              <w:t>A/I</w:t>
            </w:r>
          </w:p>
        </w:tc>
      </w:tr>
    </w:tbl>
    <w:p w:rsidR="007707B6" w:rsidRDefault="007707B6"/>
    <w:sectPr w:rsidR="007707B6" w:rsidSect="0085766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6C65"/>
    <w:multiLevelType w:val="hybridMultilevel"/>
    <w:tmpl w:val="6B32E7B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A4825F7"/>
    <w:multiLevelType w:val="hybridMultilevel"/>
    <w:tmpl w:val="369C6CF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A05720"/>
    <w:multiLevelType w:val="hybridMultilevel"/>
    <w:tmpl w:val="2886E66C"/>
    <w:lvl w:ilvl="0" w:tplc="08090001">
      <w:start w:val="1"/>
      <w:numFmt w:val="bullet"/>
      <w:lvlText w:val=""/>
      <w:lvlJc w:val="left"/>
      <w:pPr>
        <w:ind w:left="720" w:hanging="360"/>
      </w:pPr>
      <w:rPr>
        <w:rFonts w:ascii="Symbol" w:hAnsi="Symbol" w:hint="default"/>
      </w:rPr>
    </w:lvl>
    <w:lvl w:ilvl="1" w:tplc="BB7AB80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F55F7"/>
    <w:multiLevelType w:val="hybridMultilevel"/>
    <w:tmpl w:val="5F20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7615B9"/>
    <w:multiLevelType w:val="hybridMultilevel"/>
    <w:tmpl w:val="27B81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67"/>
    <w:rsid w:val="00022495"/>
    <w:rsid w:val="00073604"/>
    <w:rsid w:val="000C6A8D"/>
    <w:rsid w:val="00152A9C"/>
    <w:rsid w:val="00167218"/>
    <w:rsid w:val="001828FE"/>
    <w:rsid w:val="00185DAE"/>
    <w:rsid w:val="0028171E"/>
    <w:rsid w:val="002C389F"/>
    <w:rsid w:val="002C4353"/>
    <w:rsid w:val="00304208"/>
    <w:rsid w:val="004E5CCD"/>
    <w:rsid w:val="004E79E7"/>
    <w:rsid w:val="005C7211"/>
    <w:rsid w:val="005D308E"/>
    <w:rsid w:val="006311AD"/>
    <w:rsid w:val="00643B75"/>
    <w:rsid w:val="00767B67"/>
    <w:rsid w:val="007707B6"/>
    <w:rsid w:val="00857663"/>
    <w:rsid w:val="0096138F"/>
    <w:rsid w:val="009A69D7"/>
    <w:rsid w:val="009B75F0"/>
    <w:rsid w:val="009D03CD"/>
    <w:rsid w:val="009E665F"/>
    <w:rsid w:val="009F6AD7"/>
    <w:rsid w:val="00AD71F4"/>
    <w:rsid w:val="00AE7874"/>
    <w:rsid w:val="00CF0349"/>
    <w:rsid w:val="00E018E7"/>
    <w:rsid w:val="00E21BA7"/>
    <w:rsid w:val="00ED76BF"/>
    <w:rsid w:val="00FD3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5A60D-CE10-45C4-B335-0F06F00D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B67"/>
    <w:pPr>
      <w:ind w:left="720"/>
      <w:contextualSpacing/>
    </w:pPr>
  </w:style>
  <w:style w:type="paragraph" w:styleId="BalloonText">
    <w:name w:val="Balloon Text"/>
    <w:basedOn w:val="Normal"/>
    <w:link w:val="BalloonTextChar"/>
    <w:uiPriority w:val="99"/>
    <w:semiHidden/>
    <w:unhideWhenUsed/>
    <w:rsid w:val="00281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6807">
      <w:bodyDiv w:val="1"/>
      <w:marLeft w:val="0"/>
      <w:marRight w:val="0"/>
      <w:marTop w:val="0"/>
      <w:marBottom w:val="0"/>
      <w:divBdr>
        <w:top w:val="none" w:sz="0" w:space="0" w:color="auto"/>
        <w:left w:val="none" w:sz="0" w:space="0" w:color="auto"/>
        <w:bottom w:val="none" w:sz="0" w:space="0" w:color="auto"/>
        <w:right w:val="none" w:sz="0" w:space="0" w:color="auto"/>
      </w:divBdr>
    </w:div>
    <w:div w:id="1248659831">
      <w:bodyDiv w:val="1"/>
      <w:marLeft w:val="0"/>
      <w:marRight w:val="0"/>
      <w:marTop w:val="0"/>
      <w:marBottom w:val="0"/>
      <w:divBdr>
        <w:top w:val="none" w:sz="0" w:space="0" w:color="auto"/>
        <w:left w:val="none" w:sz="0" w:space="0" w:color="auto"/>
        <w:bottom w:val="none" w:sz="0" w:space="0" w:color="auto"/>
        <w:right w:val="none" w:sz="0" w:space="0" w:color="auto"/>
      </w:divBdr>
    </w:div>
    <w:div w:id="1380786387">
      <w:bodyDiv w:val="1"/>
      <w:marLeft w:val="0"/>
      <w:marRight w:val="0"/>
      <w:marTop w:val="0"/>
      <w:marBottom w:val="0"/>
      <w:divBdr>
        <w:top w:val="none" w:sz="0" w:space="0" w:color="auto"/>
        <w:left w:val="none" w:sz="0" w:space="0" w:color="auto"/>
        <w:bottom w:val="none" w:sz="0" w:space="0" w:color="auto"/>
        <w:right w:val="none" w:sz="0" w:space="0" w:color="auto"/>
      </w:divBdr>
    </w:div>
    <w:div w:id="18553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5582649E</Template>
  <TotalTime>0</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dc:creator>
  <cp:lastModifiedBy>Charlotte Willicombe</cp:lastModifiedBy>
  <cp:revision>2</cp:revision>
  <cp:lastPrinted>2017-06-14T14:30:00Z</cp:lastPrinted>
  <dcterms:created xsi:type="dcterms:W3CDTF">2017-08-04T14:43:00Z</dcterms:created>
  <dcterms:modified xsi:type="dcterms:W3CDTF">2017-08-04T14:43:00Z</dcterms:modified>
</cp:coreProperties>
</file>