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E5698" w:rsidTr="006E2115">
        <w:tc>
          <w:tcPr>
            <w:tcW w:w="9242" w:type="dxa"/>
          </w:tcPr>
          <w:p w:rsidR="00290CB7" w:rsidRDefault="00290CB7" w:rsidP="004E4670">
            <w:pPr>
              <w:pStyle w:val="BodyTex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E5698" w:rsidRDefault="00CE5698" w:rsidP="00CE5698"/>
    <w:p w:rsidR="00CE5698" w:rsidRDefault="00CE5698" w:rsidP="00CE5698"/>
    <w:p w:rsidR="00290CB7" w:rsidRPr="00290CB7" w:rsidRDefault="00290CB7" w:rsidP="00290CB7">
      <w:pPr>
        <w:rPr>
          <w:b/>
          <w:caps/>
          <w:sz w:val="22"/>
          <w:szCs w:val="22"/>
        </w:rPr>
      </w:pPr>
      <w:r w:rsidRPr="00290CB7">
        <w:rPr>
          <w:b/>
          <w:caps/>
          <w:sz w:val="22"/>
          <w:szCs w:val="22"/>
        </w:rPr>
        <w:t>Person Specification</w:t>
      </w:r>
    </w:p>
    <w:p w:rsidR="00290CB7" w:rsidRPr="00290CB7" w:rsidRDefault="00290CB7" w:rsidP="00290CB7">
      <w:pPr>
        <w:rPr>
          <w:b/>
          <w:caps/>
          <w:sz w:val="22"/>
          <w:szCs w:val="22"/>
        </w:rPr>
      </w:pPr>
      <w:r w:rsidRPr="00290CB7">
        <w:rPr>
          <w:b/>
          <w:caps/>
          <w:sz w:val="22"/>
          <w:szCs w:val="22"/>
        </w:rPr>
        <w:t>Teacher OF FRENCH – mps</w:t>
      </w:r>
    </w:p>
    <w:p w:rsidR="00290CB7" w:rsidRPr="00290CB7" w:rsidRDefault="00290CB7" w:rsidP="00290CB7">
      <w:pPr>
        <w:rPr>
          <w:b/>
          <w:caps/>
          <w:sz w:val="22"/>
          <w:szCs w:val="22"/>
        </w:rPr>
      </w:pPr>
    </w:p>
    <w:p w:rsidR="00290CB7" w:rsidRPr="00290CB7" w:rsidRDefault="00290CB7" w:rsidP="00290CB7">
      <w:pPr>
        <w:rPr>
          <w:color w:val="000000"/>
          <w:sz w:val="22"/>
          <w:szCs w:val="22"/>
        </w:rPr>
      </w:pPr>
      <w:r w:rsidRPr="00290CB7">
        <w:rPr>
          <w:color w:val="000000"/>
          <w:sz w:val="22"/>
          <w:szCs w:val="22"/>
        </w:rPr>
        <w:t>In due course we would expect all the qualities and attributes listed below to be acquired by the successful candidate. Those marked ‘Essential’ must be demonstrable at the point of interview.</w:t>
      </w:r>
    </w:p>
    <w:p w:rsidR="00290CB7" w:rsidRPr="00290CB7" w:rsidRDefault="00290CB7" w:rsidP="00290CB7">
      <w:pPr>
        <w:rPr>
          <w:b/>
          <w:caps/>
          <w:sz w:val="22"/>
          <w:szCs w:val="22"/>
        </w:rPr>
      </w:pPr>
    </w:p>
    <w:tbl>
      <w:tblPr>
        <w:tblW w:w="9911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1402"/>
        <w:gridCol w:w="1403"/>
      </w:tblGrid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0CB7" w:rsidRPr="00290CB7" w:rsidRDefault="00290CB7" w:rsidP="006E2115">
            <w:pPr>
              <w:jc w:val="center"/>
              <w:rPr>
                <w:b/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t>Qualities and Attributes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0CB7" w:rsidRPr="00290CB7" w:rsidRDefault="00290CB7" w:rsidP="006E2115">
            <w:pPr>
              <w:jc w:val="center"/>
              <w:rPr>
                <w:b/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0CB7" w:rsidRPr="00290CB7" w:rsidRDefault="00290CB7" w:rsidP="006E2115">
            <w:pPr>
              <w:jc w:val="center"/>
              <w:rPr>
                <w:b/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t>Desirable</w:t>
            </w:r>
          </w:p>
        </w:tc>
      </w:tr>
      <w:tr w:rsidR="00290CB7" w:rsidRPr="00290CB7" w:rsidTr="006E2115">
        <w:trPr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t>Qualifications</w:t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Good quality Honours degree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PGCE, or equivalent, in Secondary Education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Qualified Teacher Status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t>Experience</w:t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Proven success in teaching French at KS3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Proven success in teaching French at KS4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 xml:space="preserve">Proven success in teaching French at A level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</w:tr>
      <w:tr w:rsidR="00290CB7" w:rsidRPr="00290CB7" w:rsidTr="006E2115">
        <w:trPr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t>Knowledge / Skills</w:t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Strong subject knowledge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 xml:space="preserve">An understanding of what constitutes high quality teaching and learning and the ability to produce this on a daily basis.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Well-developed behaviour management skills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An ability to forge good working relationships with staff and students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Efficient organisational skills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290CB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 xml:space="preserve">Knowledge and understanding of current curriculum developments in French.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An understanding of the qualities of a good Scheme of Work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 xml:space="preserve">Knowledge of how to analyse and interpret data in order to monitor pupil progress and inform curriculum planning.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An understanding of effective intervention strategies at KS3, KS4, KS5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Ability to support colleagues and monitor the quality of teaching and learning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Ensure that whole school policies are implemented consistently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t>Personal</w:t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 xml:space="preserve">Ability to work hard under pressure (particularly given the number of classes taught)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Ability to prioritise and meet deadlines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Commitment to continued personal development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Commitment to contribute to extra-curricular activities and educational visits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</w:tr>
      <w:tr w:rsidR="00290CB7" w:rsidRPr="00290CB7" w:rsidTr="006E2115">
        <w:trPr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b/>
                <w:sz w:val="22"/>
                <w:szCs w:val="22"/>
              </w:rPr>
              <w:lastRenderedPageBreak/>
              <w:t>General</w:t>
            </w: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Good attendance and punctuality record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290CB7" w:rsidRPr="00290CB7" w:rsidTr="006E2115">
        <w:trPr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t>Professional dress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90CB7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CB7" w:rsidRPr="00290CB7" w:rsidRDefault="00290CB7" w:rsidP="006E21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</w:tbl>
    <w:p w:rsidR="00290CB7" w:rsidRDefault="00290CB7" w:rsidP="00290CB7"/>
    <w:p w:rsidR="00290CB7" w:rsidRPr="00DD3215" w:rsidRDefault="00290CB7" w:rsidP="00290CB7">
      <w:pPr>
        <w:jc w:val="right"/>
      </w:pPr>
      <w:r w:rsidRPr="00DD3215">
        <w:rPr>
          <w:noProof/>
          <w:lang w:eastAsia="en-GB"/>
        </w:rPr>
        <w:drawing>
          <wp:inline distT="0" distB="0" distL="0" distR="0" wp14:anchorId="59A8424B" wp14:editId="27042B29">
            <wp:extent cx="3476625" cy="790575"/>
            <wp:effectExtent l="0" t="0" r="9525" b="9525"/>
            <wp:docPr id="1" name="Picture 1" descr="MHS Logo Jul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 Logo July 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B7" w:rsidRPr="00DD3215" w:rsidRDefault="00290CB7" w:rsidP="00290CB7">
      <w:pPr>
        <w:pStyle w:val="Caption"/>
        <w:jc w:val="left"/>
      </w:pPr>
    </w:p>
    <w:p w:rsidR="00290CB7" w:rsidRPr="00DD3215" w:rsidRDefault="00290CB7" w:rsidP="00290CB7">
      <w:pPr>
        <w:pStyle w:val="Caption"/>
      </w:pPr>
      <w:r w:rsidRPr="00DD3215">
        <w:t>JOB DESCRIPTION</w:t>
      </w:r>
    </w:p>
    <w:p w:rsidR="00290CB7" w:rsidRPr="00DD3215" w:rsidRDefault="00290CB7" w:rsidP="00290CB7">
      <w:pPr>
        <w:pStyle w:val="Title"/>
      </w:pPr>
    </w:p>
    <w:p w:rsidR="00290CB7" w:rsidRPr="00DD3215" w:rsidRDefault="00290CB7" w:rsidP="00290CB7">
      <w:pPr>
        <w:pStyle w:val="Title"/>
        <w:jc w:val="left"/>
        <w:rPr>
          <w:sz w:val="28"/>
          <w:szCs w:val="28"/>
          <w:u w:val="none"/>
        </w:rPr>
      </w:pPr>
      <w:r w:rsidRPr="00DD3215">
        <w:rPr>
          <w:sz w:val="28"/>
          <w:szCs w:val="28"/>
          <w:u w:val="none"/>
        </w:rPr>
        <w:t xml:space="preserve">FACULTY: </w:t>
      </w:r>
      <w:r w:rsidRPr="00DD3215">
        <w:rPr>
          <w:sz w:val="28"/>
          <w:szCs w:val="28"/>
          <w:u w:val="none"/>
        </w:rPr>
        <w:tab/>
        <w:t xml:space="preserve"> </w:t>
      </w:r>
      <w:r w:rsidRPr="00DD3215">
        <w:rPr>
          <w:sz w:val="28"/>
          <w:szCs w:val="28"/>
          <w:u w:val="none"/>
        </w:rPr>
        <w:tab/>
        <w:t>MODERN FOREIGN LANGUAGES</w:t>
      </w:r>
    </w:p>
    <w:p w:rsidR="00290CB7" w:rsidRPr="00DD3215" w:rsidRDefault="00290CB7" w:rsidP="00290CB7">
      <w:pPr>
        <w:pStyle w:val="Title"/>
        <w:jc w:val="left"/>
        <w:rPr>
          <w:sz w:val="28"/>
          <w:szCs w:val="28"/>
          <w:u w:val="none"/>
        </w:rPr>
      </w:pPr>
    </w:p>
    <w:p w:rsidR="00290CB7" w:rsidRPr="00DD3215" w:rsidRDefault="00290CB7" w:rsidP="00290CB7">
      <w:pPr>
        <w:pStyle w:val="Title"/>
        <w:jc w:val="left"/>
        <w:rPr>
          <w:sz w:val="28"/>
          <w:szCs w:val="28"/>
          <w:u w:val="none"/>
        </w:rPr>
      </w:pPr>
      <w:r w:rsidRPr="00DD3215">
        <w:rPr>
          <w:sz w:val="28"/>
          <w:szCs w:val="28"/>
          <w:u w:val="none"/>
        </w:rPr>
        <w:t xml:space="preserve">JOB TITLE: </w:t>
      </w:r>
      <w:r w:rsidRPr="00DD3215">
        <w:rPr>
          <w:sz w:val="28"/>
          <w:szCs w:val="28"/>
          <w:u w:val="none"/>
        </w:rPr>
        <w:tab/>
      </w:r>
      <w:r w:rsidRPr="00DD3215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 xml:space="preserve">Teacher of </w:t>
      </w:r>
      <w:r w:rsidRPr="00DD3215">
        <w:rPr>
          <w:sz w:val="28"/>
          <w:szCs w:val="28"/>
          <w:u w:val="none"/>
        </w:rPr>
        <w:t>French</w:t>
      </w:r>
    </w:p>
    <w:p w:rsidR="00290CB7" w:rsidRPr="00DD3215" w:rsidRDefault="00290CB7" w:rsidP="00290CB7">
      <w:pPr>
        <w:pStyle w:val="Title"/>
        <w:jc w:val="left"/>
        <w:rPr>
          <w:sz w:val="28"/>
          <w:szCs w:val="28"/>
          <w:u w:val="none"/>
        </w:rPr>
      </w:pPr>
    </w:p>
    <w:p w:rsidR="00290CB7" w:rsidRPr="00DD3215" w:rsidRDefault="00290CB7" w:rsidP="00290CB7">
      <w:pPr>
        <w:pStyle w:val="Title"/>
        <w:jc w:val="left"/>
        <w:rPr>
          <w:sz w:val="28"/>
          <w:szCs w:val="28"/>
          <w:u w:val="none"/>
        </w:rPr>
      </w:pPr>
      <w:r w:rsidRPr="00DD3215">
        <w:rPr>
          <w:sz w:val="28"/>
          <w:szCs w:val="28"/>
          <w:u w:val="none"/>
        </w:rPr>
        <w:t xml:space="preserve">LINE MANAGER: </w:t>
      </w:r>
      <w:r w:rsidRPr="00DD3215">
        <w:rPr>
          <w:sz w:val="28"/>
          <w:szCs w:val="28"/>
          <w:u w:val="none"/>
        </w:rPr>
        <w:tab/>
        <w:t>Head of Faculty</w:t>
      </w:r>
    </w:p>
    <w:p w:rsidR="00290CB7" w:rsidRPr="00DD3215" w:rsidRDefault="00290CB7" w:rsidP="00290CB7"/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>THE DEPARTMENT</w:t>
      </w: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r w:rsidRPr="00DD3215">
        <w:t xml:space="preserve">MFL is one of nine faculties within the school. French, German and Spanish are popular options at GCSE. French and German are also popular subjects at </w:t>
      </w:r>
      <w:proofErr w:type="gramStart"/>
      <w:r w:rsidRPr="00DD3215">
        <w:t>A</w:t>
      </w:r>
      <w:proofErr w:type="gramEnd"/>
      <w:r w:rsidRPr="00DD3215">
        <w:t xml:space="preserve"> level. Take up is high because students enjoy high quality teaching and learning throughout the school and are inspired by their teachers.</w:t>
      </w:r>
    </w:p>
    <w:p w:rsidR="00290CB7" w:rsidRPr="00DD3215" w:rsidRDefault="00290CB7" w:rsidP="00290CB7"/>
    <w:p w:rsidR="00290CB7" w:rsidRPr="00DD3215" w:rsidRDefault="00290CB7" w:rsidP="00290CB7">
      <w:r w:rsidRPr="00DD3215">
        <w:t>There are five full time and two part time teachers within the faculty.</w:t>
      </w:r>
    </w:p>
    <w:p w:rsidR="00290CB7" w:rsidRPr="00DD3215" w:rsidRDefault="00290CB7" w:rsidP="00290CB7"/>
    <w:p w:rsidR="00290CB7" w:rsidRPr="00DD3215" w:rsidRDefault="00290CB7" w:rsidP="00290CB7">
      <w:r w:rsidRPr="00DD3215">
        <w:t xml:space="preserve">Teaching takes place in six classrooms, all located close to each other. Each room has a projector, interactive whiteboard and internet access. The faculty also has access to a bookable suite of 30 computers. All staff </w:t>
      </w:r>
      <w:proofErr w:type="gramStart"/>
      <w:r w:rsidRPr="00DD3215">
        <w:t>are</w:t>
      </w:r>
      <w:proofErr w:type="gramEnd"/>
      <w:r w:rsidRPr="00DD3215">
        <w:t xml:space="preserve"> supplied with their own laptop by the school.</w:t>
      </w:r>
    </w:p>
    <w:p w:rsidR="00290CB7" w:rsidRPr="00DD3215" w:rsidRDefault="00290CB7" w:rsidP="00290CB7"/>
    <w:p w:rsidR="00290CB7" w:rsidRPr="00DD3215" w:rsidRDefault="00290CB7" w:rsidP="00290CB7"/>
    <w:p w:rsidR="00290CB7" w:rsidRPr="00DD3215" w:rsidRDefault="00290CB7" w:rsidP="00290CB7">
      <w:r w:rsidRPr="00DD3215">
        <w:t>The faculty welcomes trainees from the local SCITT and GTP schemes for either their ‘A’ or ‘B’ placements.</w:t>
      </w:r>
    </w:p>
    <w:p w:rsidR="00290CB7" w:rsidRPr="00DD3215" w:rsidRDefault="00290CB7" w:rsidP="00290CB7"/>
    <w:p w:rsidR="00290CB7" w:rsidRPr="00DD3215" w:rsidRDefault="00290CB7" w:rsidP="00290CB7">
      <w:r w:rsidRPr="00DD3215">
        <w:t>The faculty makes a significant contribution to whole school initiatives through participation in teaching and learning forums and piloting new ideas in the classroom.</w:t>
      </w:r>
    </w:p>
    <w:p w:rsidR="00290CB7" w:rsidRPr="00DD3215" w:rsidRDefault="00290CB7" w:rsidP="00290CB7"/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>CURRRICULUM</w:t>
      </w: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>Key Stage 3 French</w:t>
      </w: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lastRenderedPageBreak/>
        <w:t xml:space="preserve">Year 7  - We use the </w:t>
      </w:r>
      <w:proofErr w:type="spellStart"/>
      <w:r w:rsidRPr="00DD3215">
        <w:rPr>
          <w:b/>
        </w:rPr>
        <w:t>Allez</w:t>
      </w:r>
      <w:proofErr w:type="spellEnd"/>
      <w:r w:rsidRPr="00DD3215">
        <w:rPr>
          <w:b/>
        </w:rPr>
        <w:t xml:space="preserve"> 1 textbook which covers: Personal information, physical appearance, favourite objects, personality, family, school subjects, friends, home, pets, food, local area, lifestyle, holidays, sport and leisure, daily life and issued in francophone countries.</w:t>
      </w: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 xml:space="preserve"> </w:t>
      </w: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 xml:space="preserve">Year 8  - We use the </w:t>
      </w:r>
      <w:proofErr w:type="spellStart"/>
      <w:r w:rsidRPr="00DD3215">
        <w:rPr>
          <w:b/>
        </w:rPr>
        <w:t>Allez</w:t>
      </w:r>
      <w:proofErr w:type="spellEnd"/>
      <w:r w:rsidRPr="00DD3215">
        <w:rPr>
          <w:b/>
        </w:rPr>
        <w:t xml:space="preserve"> 2 textbook which covers: France and other countries, entertainment and advertising, technology, issues for teenagers, a balanced diet, parties and festivals, transport and holidays, home, jobs and ambitions.</w:t>
      </w: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 xml:space="preserve"> </w:t>
      </w:r>
    </w:p>
    <w:p w:rsidR="00290CB7" w:rsidRPr="00DD3215" w:rsidRDefault="00290CB7" w:rsidP="00290CB7">
      <w:r w:rsidRPr="00DD3215">
        <w:rPr>
          <w:b/>
        </w:rPr>
        <w:t>Year 9 – We start the AQA Foundation course which covers: me, my family and friends, home, town, neighbourhoo</w:t>
      </w:r>
      <w:r>
        <w:rPr>
          <w:b/>
        </w:rPr>
        <w:t>d</w:t>
      </w:r>
      <w:r w:rsidRPr="00DD3215">
        <w:rPr>
          <w:b/>
        </w:rPr>
        <w:t>s and region, my studies, free-time activities, customs and festivals in French-speaking countries/communities</w:t>
      </w:r>
    </w:p>
    <w:p w:rsidR="00290CB7" w:rsidRPr="00DD3215" w:rsidRDefault="00290CB7" w:rsidP="00290CB7"/>
    <w:p w:rsidR="00290CB7" w:rsidRPr="00DD3215" w:rsidRDefault="00290CB7" w:rsidP="00290CB7">
      <w:pPr>
        <w:rPr>
          <w:b/>
        </w:rPr>
      </w:pPr>
      <w:r w:rsidRPr="00DD3215">
        <w:rPr>
          <w:b/>
        </w:rPr>
        <w:t>Key Stage 4 French / German / Spanish</w:t>
      </w:r>
    </w:p>
    <w:p w:rsidR="00290CB7" w:rsidRPr="00DD3215" w:rsidRDefault="00290CB7" w:rsidP="00290CB7"/>
    <w:p w:rsidR="00290CB7" w:rsidRPr="00DD3215" w:rsidRDefault="00290CB7" w:rsidP="00290CB7">
      <w:pPr>
        <w:rPr>
          <w:b/>
        </w:rPr>
      </w:pPr>
      <w:r w:rsidRPr="00DD3215">
        <w:rPr>
          <w:b/>
        </w:rPr>
        <w:t xml:space="preserve">Year 10 – We continue with the AQA Foundation course and introduce the </w:t>
      </w:r>
      <w:proofErr w:type="gramStart"/>
      <w:r w:rsidRPr="00DD3215">
        <w:rPr>
          <w:b/>
        </w:rPr>
        <w:t>Higher</w:t>
      </w:r>
      <w:proofErr w:type="gramEnd"/>
      <w:r w:rsidRPr="00DD3215">
        <w:rPr>
          <w:b/>
        </w:rPr>
        <w:t xml:space="preserve"> course, which covers: life at school/college, travel and tourism, education post-16, social issues, marriage/partnership, technology in everyday life.</w:t>
      </w: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r w:rsidRPr="00DD3215">
        <w:rPr>
          <w:b/>
        </w:rPr>
        <w:t>Year 11 – global issues, social issues, career choices and ambitions.</w:t>
      </w:r>
    </w:p>
    <w:p w:rsidR="00290CB7" w:rsidRPr="00DD3215" w:rsidRDefault="00290CB7" w:rsidP="00290CB7"/>
    <w:p w:rsidR="00290CB7" w:rsidRPr="00DD3215" w:rsidRDefault="00290CB7" w:rsidP="00290CB7"/>
    <w:p w:rsidR="00290CB7" w:rsidRPr="00DD3215" w:rsidRDefault="00290CB7" w:rsidP="00290CB7">
      <w:pPr>
        <w:rPr>
          <w:b/>
        </w:rPr>
      </w:pPr>
      <w:r w:rsidRPr="00DD3215">
        <w:rPr>
          <w:b/>
        </w:rPr>
        <w:t>Key Stage 5 French</w:t>
      </w: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>Students follow the AQA AS and A2 syllabus.</w:t>
      </w:r>
    </w:p>
    <w:p w:rsidR="00290CB7" w:rsidRPr="00DD3215" w:rsidRDefault="00290CB7" w:rsidP="00290CB7">
      <w:pPr>
        <w:rPr>
          <w:b/>
        </w:rPr>
      </w:pPr>
    </w:p>
    <w:p w:rsidR="00290CB7" w:rsidRDefault="00290CB7" w:rsidP="00290CB7">
      <w:pPr>
        <w:rPr>
          <w:b/>
        </w:rPr>
      </w:pPr>
    </w:p>
    <w:p w:rsidR="00290CB7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>ATTAINMENT</w:t>
      </w: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</w:rPr>
      </w:pPr>
    </w:p>
    <w:p w:rsidR="00290CB7" w:rsidRPr="00DD3215" w:rsidRDefault="00290CB7" w:rsidP="00290CB7">
      <w:pPr>
        <w:rPr>
          <w:b/>
          <w:bCs/>
        </w:rPr>
      </w:pPr>
      <w:r w:rsidRPr="00DD3215">
        <w:rPr>
          <w:b/>
          <w:bCs/>
        </w:rPr>
        <w:t>ATTAINMENT</w:t>
      </w:r>
    </w:p>
    <w:p w:rsidR="00290CB7" w:rsidRPr="00DD3215" w:rsidRDefault="00290CB7" w:rsidP="00290CB7">
      <w:pPr>
        <w:rPr>
          <w:b/>
          <w:bCs/>
        </w:rPr>
      </w:pPr>
    </w:p>
    <w:p w:rsidR="00290CB7" w:rsidRPr="00DD3215" w:rsidRDefault="00290CB7" w:rsidP="00290CB7">
      <w:pPr>
        <w:rPr>
          <w:b/>
          <w:bCs/>
        </w:rPr>
      </w:pPr>
      <w:r w:rsidRPr="00DD3215">
        <w:rPr>
          <w:b/>
          <w:bCs/>
        </w:rPr>
        <w:t>GCSE MFL</w:t>
      </w:r>
    </w:p>
    <w:p w:rsidR="00290CB7" w:rsidRPr="00DD3215" w:rsidRDefault="00290CB7" w:rsidP="00290CB7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311"/>
        <w:gridCol w:w="2312"/>
        <w:gridCol w:w="2312"/>
      </w:tblGrid>
      <w:tr w:rsidR="00290CB7" w:rsidRPr="00DD3215" w:rsidTr="006E2115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 xml:space="preserve">Year 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2015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2016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2017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A*-C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73%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85%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84%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 - 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8%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15%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12%</w:t>
            </w:r>
          </w:p>
        </w:tc>
      </w:tr>
    </w:tbl>
    <w:p w:rsidR="00290CB7" w:rsidRPr="00DD3215" w:rsidRDefault="00290CB7" w:rsidP="00290CB7">
      <w:pPr>
        <w:rPr>
          <w:rFonts w:eastAsiaTheme="minorHAnsi"/>
          <w:b/>
          <w:bCs/>
          <w:szCs w:val="22"/>
        </w:rPr>
      </w:pPr>
    </w:p>
    <w:p w:rsidR="00290CB7" w:rsidRPr="00DD3215" w:rsidRDefault="00290CB7" w:rsidP="00290CB7">
      <w:pPr>
        <w:rPr>
          <w:rFonts w:ascii="Calibri" w:hAnsi="Calibri"/>
          <w:b/>
          <w:bCs/>
        </w:rPr>
      </w:pPr>
      <w:r w:rsidRPr="00DD3215">
        <w:rPr>
          <w:b/>
          <w:bCs/>
        </w:rPr>
        <w:t>GCSE FRENCH</w:t>
      </w:r>
    </w:p>
    <w:p w:rsidR="00290CB7" w:rsidRPr="00DD3215" w:rsidRDefault="00290CB7" w:rsidP="00290CB7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311"/>
        <w:gridCol w:w="2312"/>
        <w:gridCol w:w="2312"/>
      </w:tblGrid>
      <w:tr w:rsidR="00290CB7" w:rsidRPr="00DD3215" w:rsidTr="006E2115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 xml:space="preserve">Year 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2015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2016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2017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A*-C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74%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57%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87%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 - 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8%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2%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15%</w:t>
            </w:r>
          </w:p>
        </w:tc>
      </w:tr>
    </w:tbl>
    <w:p w:rsidR="00290CB7" w:rsidRPr="00DD3215" w:rsidRDefault="00290CB7" w:rsidP="00290CB7">
      <w:pPr>
        <w:rPr>
          <w:rFonts w:eastAsiaTheme="minorHAnsi"/>
          <w:szCs w:val="22"/>
        </w:rPr>
      </w:pPr>
    </w:p>
    <w:p w:rsidR="00290CB7" w:rsidRPr="00DD3215" w:rsidRDefault="00290CB7" w:rsidP="00290CB7">
      <w:pPr>
        <w:rPr>
          <w:rFonts w:ascii="Calibri" w:hAnsi="Calibri"/>
          <w:b/>
          <w:bCs/>
        </w:rPr>
      </w:pPr>
      <w:r w:rsidRPr="00DD3215">
        <w:rPr>
          <w:b/>
          <w:bCs/>
        </w:rPr>
        <w:t>A LEVEL MFL</w:t>
      </w:r>
    </w:p>
    <w:p w:rsidR="00290CB7" w:rsidRPr="00DD3215" w:rsidRDefault="00290CB7" w:rsidP="00290CB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13"/>
        <w:gridCol w:w="2313"/>
        <w:gridCol w:w="2313"/>
      </w:tblGrid>
      <w:tr w:rsidR="00290CB7" w:rsidRPr="00DD3215" w:rsidTr="006E2115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lastRenderedPageBreak/>
              <w:t xml:space="preserve">Year 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2015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2016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2017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A*-E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100%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100%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100%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 - B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40%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50%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100%</w:t>
            </w:r>
          </w:p>
        </w:tc>
      </w:tr>
    </w:tbl>
    <w:p w:rsidR="00290CB7" w:rsidRPr="00DD3215" w:rsidRDefault="00290CB7" w:rsidP="00290CB7">
      <w:pPr>
        <w:rPr>
          <w:rFonts w:eastAsiaTheme="minorHAnsi"/>
          <w:szCs w:val="22"/>
        </w:rPr>
      </w:pPr>
    </w:p>
    <w:p w:rsidR="00290CB7" w:rsidRPr="00DD3215" w:rsidRDefault="00290CB7" w:rsidP="00290CB7">
      <w:pPr>
        <w:rPr>
          <w:rFonts w:ascii="Calibri" w:hAnsi="Calibri"/>
          <w:b/>
          <w:bCs/>
        </w:rPr>
      </w:pPr>
      <w:proofErr w:type="gramStart"/>
      <w:r w:rsidRPr="00DD3215">
        <w:rPr>
          <w:b/>
          <w:bCs/>
        </w:rPr>
        <w:t>A LEVEL</w:t>
      </w:r>
      <w:proofErr w:type="gramEnd"/>
      <w:r w:rsidRPr="00DD3215">
        <w:rPr>
          <w:b/>
          <w:bCs/>
        </w:rPr>
        <w:t xml:space="preserve"> FRENCH</w:t>
      </w:r>
    </w:p>
    <w:p w:rsidR="00290CB7" w:rsidRPr="00DD3215" w:rsidRDefault="00290CB7" w:rsidP="00290CB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314"/>
        <w:gridCol w:w="2308"/>
        <w:gridCol w:w="2315"/>
      </w:tblGrid>
      <w:tr w:rsidR="00290CB7" w:rsidRPr="00DD3215" w:rsidTr="006E2115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 xml:space="preserve">Year 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2015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2016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2017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A*-E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100%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N/A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100%</w:t>
            </w:r>
          </w:p>
        </w:tc>
      </w:tr>
      <w:tr w:rsidR="00290CB7" w:rsidRPr="00DD3215" w:rsidTr="006E211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t>A* - B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0%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N/A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B7" w:rsidRPr="00DD3215" w:rsidRDefault="00290CB7" w:rsidP="006E2115">
            <w:pPr>
              <w:spacing w:line="276" w:lineRule="auto"/>
              <w:rPr>
                <w:rFonts w:eastAsiaTheme="minorHAnsi"/>
                <w:szCs w:val="22"/>
              </w:rPr>
            </w:pPr>
            <w:r w:rsidRPr="00DD3215">
              <w:rPr>
                <w:color w:val="1F497D"/>
              </w:rPr>
              <w:t>100%</w:t>
            </w:r>
          </w:p>
        </w:tc>
      </w:tr>
    </w:tbl>
    <w:p w:rsidR="00290CB7" w:rsidRPr="00DD3215" w:rsidRDefault="00290CB7" w:rsidP="00290CB7">
      <w:pPr>
        <w:rPr>
          <w:rFonts w:eastAsiaTheme="minorHAnsi"/>
          <w:szCs w:val="22"/>
        </w:rPr>
      </w:pPr>
    </w:p>
    <w:p w:rsidR="00290CB7" w:rsidRPr="00DD3215" w:rsidRDefault="00290CB7" w:rsidP="00290CB7">
      <w:pPr>
        <w:rPr>
          <w:rFonts w:ascii="Calibri" w:hAnsi="Calibri"/>
        </w:rPr>
      </w:pPr>
    </w:p>
    <w:p w:rsidR="00290CB7" w:rsidRPr="00DD3215" w:rsidRDefault="00290CB7" w:rsidP="00290CB7"/>
    <w:p w:rsidR="00290CB7" w:rsidRDefault="00290CB7" w:rsidP="00290CB7">
      <w:pPr>
        <w:rPr>
          <w:b/>
        </w:rPr>
      </w:pPr>
      <w:r w:rsidRPr="00DD3215">
        <w:rPr>
          <w:b/>
        </w:rPr>
        <w:t>THE POST</w:t>
      </w:r>
    </w:p>
    <w:p w:rsidR="00690972" w:rsidRDefault="00690972" w:rsidP="00290CB7">
      <w:pPr>
        <w:rPr>
          <w:b/>
        </w:rPr>
      </w:pPr>
    </w:p>
    <w:p w:rsidR="00690972" w:rsidRDefault="00690972" w:rsidP="00690972">
      <w:pPr>
        <w:jc w:val="both"/>
      </w:pPr>
      <w:r>
        <w:t xml:space="preserve">We are looking for a conscientious, innovative and well-qualified teacher with a genuine enthusiasm for the teaching of French who can inspire our students and make a real contribution to the faculty. </w:t>
      </w:r>
    </w:p>
    <w:p w:rsidR="00690972" w:rsidRDefault="00690972" w:rsidP="00690972">
      <w:pPr>
        <w:jc w:val="both"/>
      </w:pPr>
    </w:p>
    <w:p w:rsidR="00690972" w:rsidRPr="00DD3215" w:rsidRDefault="00690972" w:rsidP="00690972">
      <w:pPr>
        <w:jc w:val="both"/>
        <w:rPr>
          <w:b/>
        </w:rPr>
      </w:pPr>
      <w:r>
        <w:t xml:space="preserve">The post is suitable for either an NQT or a more experienced teacher. </w:t>
      </w:r>
    </w:p>
    <w:p w:rsidR="00290CB7" w:rsidRPr="00DD3215" w:rsidRDefault="00290CB7" w:rsidP="00290CB7"/>
    <w:p w:rsidR="00690972" w:rsidRDefault="00290CB7" w:rsidP="00290CB7">
      <w:r w:rsidRPr="00DD3215">
        <w:t xml:space="preserve">The post commences from September 2018. </w:t>
      </w:r>
    </w:p>
    <w:p w:rsidR="00690972" w:rsidRDefault="00690972" w:rsidP="00290CB7"/>
    <w:p w:rsidR="00290CB7" w:rsidRDefault="00290CB7" w:rsidP="00290CB7">
      <w:r w:rsidRPr="00DD3215">
        <w:t xml:space="preserve">The successful candidate will be expected to teach up to and including </w:t>
      </w:r>
      <w:r>
        <w:t>GCSE with a possibility of A Level for a suitable candidate.</w:t>
      </w:r>
    </w:p>
    <w:p w:rsidR="00690972" w:rsidRDefault="00690972" w:rsidP="00290CB7"/>
    <w:p w:rsidR="00690972" w:rsidRDefault="00690972" w:rsidP="00690972">
      <w:pPr>
        <w:jc w:val="both"/>
      </w:pPr>
      <w:r>
        <w:t xml:space="preserve">NQTs teach a reduced timetable of 40 out of 50 periods a fortnight.  They are allocated a subject mentor within their department and take part in an NQT induction programme that is led by an Assistant </w:t>
      </w:r>
      <w:proofErr w:type="spellStart"/>
      <w:r>
        <w:t>Headteacher</w:t>
      </w:r>
      <w:proofErr w:type="spellEnd"/>
      <w:r>
        <w:t xml:space="preserve">. </w:t>
      </w:r>
    </w:p>
    <w:p w:rsidR="00690972" w:rsidRDefault="00690972" w:rsidP="00690972"/>
    <w:p w:rsidR="00690972" w:rsidRDefault="00690972" w:rsidP="00690972">
      <w:pPr>
        <w:pBdr>
          <w:bottom w:val="single" w:sz="4" w:space="1" w:color="auto"/>
        </w:pBdr>
        <w:rPr>
          <w:b/>
        </w:rPr>
      </w:pPr>
    </w:p>
    <w:p w:rsidR="00690972" w:rsidRDefault="00690972" w:rsidP="00290CB7"/>
    <w:p w:rsidR="00290CB7" w:rsidRPr="00DD3215" w:rsidRDefault="00290CB7" w:rsidP="00290CB7">
      <w:r w:rsidRPr="00DD3215">
        <w:t>.</w:t>
      </w:r>
    </w:p>
    <w:p w:rsidR="00290CB7" w:rsidRPr="00DD3215" w:rsidRDefault="00290CB7" w:rsidP="00290CB7">
      <w:pPr>
        <w:rPr>
          <w:b/>
        </w:rPr>
      </w:pPr>
      <w:r w:rsidRPr="00DD3215">
        <w:rPr>
          <w:b/>
        </w:rPr>
        <w:t xml:space="preserve">ALL STAFF AT MOULSHAM HIGH SCHOOL ARE </w:t>
      </w:r>
      <w:r w:rsidRPr="00DD3215">
        <w:rPr>
          <w:b/>
          <w:u w:val="single"/>
        </w:rPr>
        <w:t>EXPECTED TO</w:t>
      </w:r>
      <w:r w:rsidRPr="00DD3215">
        <w:rPr>
          <w:b/>
        </w:rPr>
        <w:t>:</w:t>
      </w:r>
    </w:p>
    <w:p w:rsidR="00290CB7" w:rsidRPr="00DD3215" w:rsidRDefault="00290CB7" w:rsidP="00290CB7"/>
    <w:p w:rsidR="00290CB7" w:rsidRPr="00DD3215" w:rsidRDefault="00290CB7" w:rsidP="00290CB7">
      <w:pPr>
        <w:numPr>
          <w:ilvl w:val="0"/>
          <w:numId w:val="5"/>
        </w:numPr>
        <w:tabs>
          <w:tab w:val="clear" w:pos="720"/>
          <w:tab w:val="num" w:pos="360"/>
        </w:tabs>
        <w:spacing w:after="200"/>
        <w:ind w:left="360"/>
        <w:jc w:val="both"/>
      </w:pPr>
      <w:r w:rsidRPr="00DD3215">
        <w:t>Participate in the performance management and development review process, taking personal responsibility for identification of learning, development and training opportunities in discussion with their line manager.</w:t>
      </w:r>
    </w:p>
    <w:p w:rsidR="00290CB7" w:rsidRPr="00DD3215" w:rsidRDefault="00290CB7" w:rsidP="00290CB7">
      <w:pPr>
        <w:numPr>
          <w:ilvl w:val="0"/>
          <w:numId w:val="6"/>
        </w:numPr>
        <w:tabs>
          <w:tab w:val="clear" w:pos="720"/>
          <w:tab w:val="num" w:pos="360"/>
        </w:tabs>
        <w:spacing w:after="200"/>
        <w:ind w:left="360"/>
        <w:jc w:val="both"/>
      </w:pPr>
      <w:r w:rsidRPr="00DD3215">
        <w:t xml:space="preserve">Comply with individual responsibilities, in accordance with the role, for health and safety in the workplace.  </w:t>
      </w:r>
    </w:p>
    <w:p w:rsidR="00290CB7" w:rsidRPr="00DD3215" w:rsidRDefault="00290CB7" w:rsidP="00290CB7">
      <w:pPr>
        <w:numPr>
          <w:ilvl w:val="0"/>
          <w:numId w:val="6"/>
        </w:numPr>
        <w:tabs>
          <w:tab w:val="clear" w:pos="720"/>
          <w:tab w:val="num" w:pos="360"/>
        </w:tabs>
        <w:spacing w:after="200"/>
        <w:ind w:left="360"/>
        <w:jc w:val="both"/>
      </w:pPr>
      <w:r w:rsidRPr="00DD3215">
        <w:t xml:space="preserve">Ensure that all duties and services provided are in accordance with the school’s Equal Opportunities Policy.  </w:t>
      </w:r>
    </w:p>
    <w:p w:rsidR="00290CB7" w:rsidRPr="00DD3215" w:rsidRDefault="00290CB7" w:rsidP="00290CB7">
      <w:r w:rsidRPr="00DD3215">
        <w:t xml:space="preserve">The duties above are neither exclusive nor exhaustive and the post holder may be required by the </w:t>
      </w:r>
      <w:proofErr w:type="spellStart"/>
      <w:r w:rsidRPr="00DD3215">
        <w:t>Headteacher</w:t>
      </w:r>
      <w:proofErr w:type="spellEnd"/>
      <w:r w:rsidRPr="00DD3215">
        <w:t xml:space="preserve"> to carry out appropriate duties within the context of the job, skills and grade. </w:t>
      </w:r>
    </w:p>
    <w:p w:rsidR="00290CB7" w:rsidRPr="00DD3215" w:rsidRDefault="00290CB7" w:rsidP="00290CB7"/>
    <w:p w:rsidR="00290CB7" w:rsidRPr="00DD3215" w:rsidRDefault="00290CB7" w:rsidP="00290CB7">
      <w:r w:rsidRPr="00DD3215">
        <w:lastRenderedPageBreak/>
        <w:t xml:space="preserve">The Governing Body is committed to safeguarding and promoting the welfare of children and young people and expects all staff and volunteers to share this commitment.  </w:t>
      </w:r>
    </w:p>
    <w:p w:rsidR="00290CB7" w:rsidRPr="00D55562" w:rsidRDefault="00290CB7" w:rsidP="00290CB7">
      <w:pPr>
        <w:rPr>
          <w:b/>
        </w:rPr>
      </w:pPr>
      <w:r w:rsidRPr="00DD3215">
        <w:rPr>
          <w:b/>
        </w:rPr>
        <w:t xml:space="preserve">This job description is not necessarily a comprehensive definition of the post and may be subject to modification or amendment at any time after consultation with the </w:t>
      </w:r>
      <w:proofErr w:type="spellStart"/>
      <w:r w:rsidRPr="00DD3215">
        <w:rPr>
          <w:b/>
        </w:rPr>
        <w:t>postholder</w:t>
      </w:r>
      <w:proofErr w:type="spellEnd"/>
      <w:r w:rsidRPr="00DD3215">
        <w:rPr>
          <w:b/>
        </w:rPr>
        <w:t>.</w:t>
      </w:r>
    </w:p>
    <w:p w:rsidR="00290CB7" w:rsidRDefault="00290CB7" w:rsidP="00290CB7"/>
    <w:p w:rsidR="00CC3CD2" w:rsidRDefault="00CC3CD2"/>
    <w:sectPr w:rsidR="00CC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BCB"/>
    <w:multiLevelType w:val="hybridMultilevel"/>
    <w:tmpl w:val="5524D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E4940"/>
    <w:multiLevelType w:val="hybridMultilevel"/>
    <w:tmpl w:val="CC58F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13B2E"/>
    <w:multiLevelType w:val="hybridMultilevel"/>
    <w:tmpl w:val="319ED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85487"/>
    <w:multiLevelType w:val="hybridMultilevel"/>
    <w:tmpl w:val="F3B88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E2314"/>
    <w:multiLevelType w:val="hybridMultilevel"/>
    <w:tmpl w:val="E29AD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C4A22"/>
    <w:multiLevelType w:val="hybridMultilevel"/>
    <w:tmpl w:val="6F36F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98"/>
    <w:rsid w:val="00290CB7"/>
    <w:rsid w:val="004E4670"/>
    <w:rsid w:val="00690972"/>
    <w:rsid w:val="0072679F"/>
    <w:rsid w:val="0088177A"/>
    <w:rsid w:val="00CC3CD2"/>
    <w:rsid w:val="00CE4908"/>
    <w:rsid w:val="00C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98"/>
    <w:pPr>
      <w:ind w:left="720"/>
    </w:pPr>
  </w:style>
  <w:style w:type="character" w:styleId="Hyperlink">
    <w:name w:val="Hyperlink"/>
    <w:basedOn w:val="DefaultParagraphFont"/>
    <w:unhideWhenUsed/>
    <w:rsid w:val="00CE56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E5698"/>
    <w:pPr>
      <w:jc w:val="both"/>
    </w:pPr>
    <w:rPr>
      <w:rFonts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569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CE5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90CB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90CB7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290CB7"/>
    <w:pPr>
      <w:jc w:val="center"/>
    </w:pPr>
    <w:rPr>
      <w:rFonts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98"/>
    <w:pPr>
      <w:ind w:left="720"/>
    </w:pPr>
  </w:style>
  <w:style w:type="character" w:styleId="Hyperlink">
    <w:name w:val="Hyperlink"/>
    <w:basedOn w:val="DefaultParagraphFont"/>
    <w:unhideWhenUsed/>
    <w:rsid w:val="00CE56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E5698"/>
    <w:pPr>
      <w:jc w:val="both"/>
    </w:pPr>
    <w:rPr>
      <w:rFonts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569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CE5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90CB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90CB7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290CB7"/>
    <w:pPr>
      <w:jc w:val="center"/>
    </w:pPr>
    <w:rPr>
      <w:rFonts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Moulsham High School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O'Leary</dc:creator>
  <cp:lastModifiedBy>Kevin Adams</cp:lastModifiedBy>
  <cp:revision>2</cp:revision>
  <dcterms:created xsi:type="dcterms:W3CDTF">2018-04-17T12:18:00Z</dcterms:created>
  <dcterms:modified xsi:type="dcterms:W3CDTF">2018-04-17T12:18:00Z</dcterms:modified>
</cp:coreProperties>
</file>