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Lead Practitioner for Mathematics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Person Specification Essential Qualifications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∙ Qualified Teacher Status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∙ Degree or equivalent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∙ Established and evidenced practice as an outstanding teacher over a prolonged period Professional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Evidence of a commitment to own professional development Teaching &amp;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Outstanding classroom practitioner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Proven ability to raise standards in classrooms other than their own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Experience of leading teaching and learning initiatives beyond their own classroom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Excellent understanding of the components which comprise outstanding teaching and learning ∙ Experience of giving effective feedback to colleagues about professional performance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∙ Experience of coaching and mentoring colleagues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Experience of conducting lesson observations Knowledge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Use of assessment and attainment information to improve practice and raise standards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Use of strategies to promote good learning relationships and high attainment in an inclusive environment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∙ Vision for the developments of Teaching and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Strategies to enhance teaching and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Use of intervention strategies to address identified issues for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Awareness of the latest developments and initiatives in education Skills and experience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Excellent interpersonal and communication skills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∙ The ability to lead and foster positive professional relationships and work effectively with teaching staff of varying experience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∙ Developing high quality learning strategies and monitoring learner progress to raise attainment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Evidence of high achievement in teaching across the Key Stages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Working effectively as a middle manager or currently leading a key responsibility/development within a team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Working effectively as a personal tutor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Experience of contribution to the professional development/mentoring of colleagues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Effective use of Assessment for Learning to engage learners as partners in their learning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Ability to establish curriculum development, assessment, coordination and coaching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∙ Ability to plan and resource effective interventions to meet curricular objectives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∙ Development of partnerships with other schools, business and the community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