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6D" w:rsidRDefault="003B187F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57150" distB="57150" distL="57150" distR="57150" simplePos="0" relativeHeight="251658240" behindDoc="0" locked="0" layoutInCell="1" hidden="0" allowOverlap="1">
            <wp:simplePos x="0" y="0"/>
            <wp:positionH relativeFrom="margin">
              <wp:posOffset>4533900</wp:posOffset>
            </wp:positionH>
            <wp:positionV relativeFrom="paragraph">
              <wp:posOffset>180975</wp:posOffset>
            </wp:positionV>
            <wp:extent cx="1195388" cy="411478"/>
            <wp:effectExtent l="0" t="0" r="0" b="0"/>
            <wp:wrapTopAndBottom distT="57150" distB="57150"/>
            <wp:docPr id="1" name="image1.jpg" descr="Holyhead_logo+strapli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olyhead_logo+strapline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5388" cy="411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365" w:type="dxa"/>
        <w:tblInd w:w="-6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70"/>
        <w:gridCol w:w="7095"/>
      </w:tblGrid>
      <w:tr w:rsidR="0081676D">
        <w:trPr>
          <w:trHeight w:val="440"/>
        </w:trPr>
        <w:tc>
          <w:tcPr>
            <w:tcW w:w="327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76D" w:rsidRDefault="003B187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Post Title and Grade </w:t>
            </w:r>
          </w:p>
        </w:tc>
        <w:tc>
          <w:tcPr>
            <w:tcW w:w="7095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76D" w:rsidRDefault="003B187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Lab Technician</w:t>
            </w:r>
          </w:p>
        </w:tc>
      </w:tr>
      <w:tr w:rsidR="0081676D">
        <w:trPr>
          <w:trHeight w:val="400"/>
        </w:trPr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76D" w:rsidRDefault="003B187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Reporting to</w:t>
            </w:r>
          </w:p>
        </w:tc>
        <w:tc>
          <w:tcPr>
            <w:tcW w:w="7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76D" w:rsidRDefault="003B187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Lab Manager and Director of Learning for Science</w:t>
            </w:r>
          </w:p>
        </w:tc>
      </w:tr>
      <w:tr w:rsidR="0081676D">
        <w:trPr>
          <w:trHeight w:val="400"/>
        </w:trPr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76D" w:rsidRDefault="003B187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Liaising with</w:t>
            </w:r>
          </w:p>
        </w:tc>
        <w:tc>
          <w:tcPr>
            <w:tcW w:w="7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76D" w:rsidRDefault="003B187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Teaching and Associate Staff and relevant external agencies </w:t>
            </w:r>
          </w:p>
        </w:tc>
      </w:tr>
      <w:tr w:rsidR="0081676D">
        <w:trPr>
          <w:trHeight w:val="420"/>
        </w:trPr>
        <w:tc>
          <w:tcPr>
            <w:tcW w:w="10365" w:type="dxa"/>
            <w:gridSpan w:val="2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76D" w:rsidRDefault="003B187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Areas of Responsibility and Key Tasks</w:t>
            </w:r>
          </w:p>
        </w:tc>
      </w:tr>
      <w:tr w:rsidR="0081676D">
        <w:trPr>
          <w:trHeight w:val="420"/>
        </w:trPr>
        <w:tc>
          <w:tcPr>
            <w:tcW w:w="1036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76D" w:rsidRDefault="003B187F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Duties</w:t>
            </w:r>
          </w:p>
          <w:p w:rsidR="0081676D" w:rsidRDefault="003B187F">
            <w:pPr>
              <w:numPr>
                <w:ilvl w:val="0"/>
                <w:numId w:val="2"/>
              </w:numPr>
              <w:spacing w:before="120" w:after="120"/>
              <w:contextualSpacing/>
            </w:pPr>
            <w:r>
              <w:t>To prepare and clear science equipment for experiments as required</w:t>
            </w:r>
          </w:p>
          <w:p w:rsidR="0081676D" w:rsidRDefault="003B187F">
            <w:pPr>
              <w:numPr>
                <w:ilvl w:val="0"/>
                <w:numId w:val="2"/>
              </w:numPr>
              <w:spacing w:before="120" w:after="120"/>
              <w:contextualSpacing/>
            </w:pPr>
            <w:r>
              <w:t>To demonstrate and assist in practical lessons as required</w:t>
            </w:r>
          </w:p>
          <w:p w:rsidR="0081676D" w:rsidRDefault="003B187F">
            <w:pPr>
              <w:numPr>
                <w:ilvl w:val="0"/>
                <w:numId w:val="2"/>
              </w:numPr>
              <w:spacing w:before="120" w:after="120"/>
              <w:contextualSpacing/>
            </w:pPr>
            <w:r>
              <w:t>Ensure all apparatus, equipment and materials are prepared for demonstration or for students use as requested by the teaching staff</w:t>
            </w:r>
          </w:p>
          <w:p w:rsidR="0081676D" w:rsidRDefault="003B187F">
            <w:pPr>
              <w:numPr>
                <w:ilvl w:val="0"/>
                <w:numId w:val="2"/>
              </w:numPr>
              <w:spacing w:before="120" w:after="120"/>
              <w:contextualSpacing/>
            </w:pPr>
            <w:r>
              <w:t>Provide technical and general assistance to teachers and students</w:t>
            </w:r>
          </w:p>
          <w:p w:rsidR="0081676D" w:rsidRDefault="003B187F">
            <w:pPr>
              <w:numPr>
                <w:ilvl w:val="0"/>
                <w:numId w:val="2"/>
              </w:numPr>
              <w:spacing w:before="120" w:after="120"/>
              <w:contextualSpacing/>
            </w:pPr>
            <w:r>
              <w:t>To pay due care and attention to health and safety followi</w:t>
            </w:r>
            <w:r>
              <w:t>ng CLEAPSS guidelines. Ensure all labels referring to safety hazards ar</w:t>
            </w:r>
            <w:r w:rsidR="00C80C9F">
              <w:t>e clearly visible, relevant haz</w:t>
            </w:r>
            <w:r>
              <w:t>ards and equipment safety information are provided as needed.</w:t>
            </w:r>
          </w:p>
          <w:p w:rsidR="0081676D" w:rsidRDefault="003B187F">
            <w:pPr>
              <w:numPr>
                <w:ilvl w:val="0"/>
                <w:numId w:val="2"/>
              </w:numPr>
              <w:spacing w:before="120" w:after="120"/>
              <w:contextualSpacing/>
            </w:pPr>
            <w:r>
              <w:t>To dispose of or reclaim all waste laboratory materials including hazardous waste/chemicals</w:t>
            </w:r>
            <w:r>
              <w:t xml:space="preserve"> in accordance with procedures and health and safety requirements.</w:t>
            </w:r>
          </w:p>
          <w:p w:rsidR="0081676D" w:rsidRDefault="003B187F">
            <w:pPr>
              <w:numPr>
                <w:ilvl w:val="0"/>
                <w:numId w:val="2"/>
              </w:numPr>
              <w:spacing w:before="120" w:after="120"/>
              <w:contextualSpacing/>
            </w:pPr>
            <w:r>
              <w:t>Keep a check on departmental stock levels and support the Lab Manager to administer the ordering, issue and distribution of stock. Check deliveries and invoices and refer any queries to res</w:t>
            </w:r>
            <w:r>
              <w:t>ponsible person</w:t>
            </w:r>
          </w:p>
          <w:p w:rsidR="0081676D" w:rsidRDefault="003B187F">
            <w:pPr>
              <w:numPr>
                <w:ilvl w:val="0"/>
                <w:numId w:val="2"/>
              </w:numPr>
              <w:spacing w:before="120" w:after="120"/>
              <w:contextualSpacing/>
            </w:pPr>
            <w:r>
              <w:t>Maintain and repair the apparatus/equipment used by the department and report other damages/needs</w:t>
            </w:r>
          </w:p>
          <w:p w:rsidR="0081676D" w:rsidRDefault="003B187F">
            <w:pPr>
              <w:numPr>
                <w:ilvl w:val="0"/>
                <w:numId w:val="2"/>
              </w:numPr>
              <w:spacing w:before="120" w:after="120"/>
              <w:contextualSpacing/>
            </w:pPr>
            <w:r>
              <w:t>To maintain and keep records of apparatus, equipment and materials for inventory purposes</w:t>
            </w:r>
          </w:p>
          <w:p w:rsidR="0081676D" w:rsidRDefault="003B187F">
            <w:pPr>
              <w:numPr>
                <w:ilvl w:val="0"/>
                <w:numId w:val="2"/>
              </w:numPr>
              <w:spacing w:before="120" w:after="120"/>
              <w:contextualSpacing/>
            </w:pPr>
            <w:r>
              <w:t xml:space="preserve">Maintain, tidy and organise work spaces and storage </w:t>
            </w:r>
            <w:r>
              <w:t>areas</w:t>
            </w:r>
          </w:p>
          <w:p w:rsidR="0081676D" w:rsidRDefault="003B187F">
            <w:pPr>
              <w:numPr>
                <w:ilvl w:val="0"/>
                <w:numId w:val="2"/>
              </w:numPr>
              <w:spacing w:before="120" w:after="120"/>
              <w:contextualSpacing/>
            </w:pPr>
            <w:r>
              <w:t>Maintenance of specialist apparatus/equipment, check apparatus/equipment and ensure health and safety guidelines are adhered to</w:t>
            </w:r>
          </w:p>
          <w:p w:rsidR="0081676D" w:rsidRDefault="003B187F">
            <w:pPr>
              <w:numPr>
                <w:ilvl w:val="0"/>
                <w:numId w:val="2"/>
              </w:numPr>
              <w:spacing w:before="120" w:after="120"/>
              <w:contextualSpacing/>
            </w:pPr>
            <w:r>
              <w:t>Provide advice and guidance to staff, students, and non-science teachers/cover supervisors/trainees</w:t>
            </w:r>
          </w:p>
          <w:p w:rsidR="0081676D" w:rsidRDefault="003B187F">
            <w:pPr>
              <w:numPr>
                <w:ilvl w:val="0"/>
                <w:numId w:val="2"/>
              </w:numPr>
              <w:spacing w:before="120" w:after="120"/>
              <w:contextualSpacing/>
            </w:pPr>
            <w:r>
              <w:t>To develop resources i</w:t>
            </w:r>
            <w:r>
              <w:t>n consultation with members of the science staff</w:t>
            </w:r>
          </w:p>
          <w:p w:rsidR="0081676D" w:rsidRDefault="003B187F">
            <w:pPr>
              <w:numPr>
                <w:ilvl w:val="0"/>
                <w:numId w:val="2"/>
              </w:numPr>
              <w:spacing w:before="120" w:after="120"/>
              <w:contextualSpacing/>
            </w:pPr>
            <w:r>
              <w:t>To undertake any specialist shopping as required.</w:t>
            </w:r>
          </w:p>
          <w:p w:rsidR="0081676D" w:rsidRDefault="003B187F">
            <w:pPr>
              <w:numPr>
                <w:ilvl w:val="0"/>
                <w:numId w:val="2"/>
              </w:numPr>
              <w:spacing w:before="120" w:after="120"/>
              <w:contextualSpacing/>
            </w:pPr>
            <w:r>
              <w:t>Help staff as required with maintaining of display space within the Science Department</w:t>
            </w:r>
          </w:p>
        </w:tc>
      </w:tr>
      <w:tr w:rsidR="0081676D">
        <w:trPr>
          <w:trHeight w:val="420"/>
        </w:trPr>
        <w:tc>
          <w:tcPr>
            <w:tcW w:w="1036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87F" w:rsidRDefault="003B187F">
            <w:pPr>
              <w:widowControl w:val="0"/>
              <w:spacing w:line="240" w:lineRule="auto"/>
              <w:rPr>
                <w:b/>
              </w:rPr>
            </w:pPr>
          </w:p>
          <w:p w:rsidR="0081676D" w:rsidRDefault="003B187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Safeguarding</w:t>
            </w:r>
          </w:p>
          <w:p w:rsidR="003B187F" w:rsidRDefault="003B187F">
            <w:pPr>
              <w:widowControl w:val="0"/>
              <w:spacing w:line="240" w:lineRule="auto"/>
              <w:rPr>
                <w:b/>
              </w:rPr>
            </w:pPr>
            <w:bookmarkStart w:id="0" w:name="_GoBack"/>
            <w:bookmarkEnd w:id="0"/>
          </w:p>
          <w:p w:rsidR="0081676D" w:rsidRDefault="003B187F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color w:val="000000"/>
              </w:rPr>
            </w:pPr>
            <w:r>
              <w:t>To ensure that all students have a safe environment in which they can learn, reporting any concern about the environment to a member of the site team or if appropriate to one of the Designated Safeguarding Leaders.</w:t>
            </w:r>
          </w:p>
          <w:p w:rsidR="0081676D" w:rsidRDefault="003B187F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color w:val="000000"/>
              </w:rPr>
            </w:pPr>
            <w:r>
              <w:t xml:space="preserve">To be aware of systems which support safeguarding and following the procedures as highlighted in the Safeguarding Policy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81676D" w:rsidRDefault="003B187F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color w:val="000000"/>
              </w:rPr>
            </w:pPr>
            <w:r>
              <w:lastRenderedPageBreak/>
              <w:t>To identify children who may benefit from early help as soon as possible and discuss this with one of the Designated Safeguard</w:t>
            </w:r>
            <w:r>
              <w:t>ing Leaders</w:t>
            </w:r>
          </w:p>
          <w:p w:rsidR="0081676D" w:rsidRDefault="003B187F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color w:val="000000"/>
              </w:rPr>
            </w:pPr>
            <w:r>
              <w:t>To consider at all times what is in the best interests of the child</w:t>
            </w:r>
          </w:p>
          <w:p w:rsidR="0081676D" w:rsidRDefault="003B187F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color w:val="000000"/>
              </w:rPr>
            </w:pPr>
            <w:r>
              <w:t xml:space="preserve">To protect children from maltreatment; preventing impairment of children’s health or development; ensuring that children grow up in circumstances consistent with the provision </w:t>
            </w:r>
            <w:r>
              <w:t>of safe and effective care</w:t>
            </w:r>
          </w:p>
          <w:p w:rsidR="0081676D" w:rsidRDefault="003B187F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color w:val="000000"/>
              </w:rPr>
            </w:pPr>
            <w:r>
              <w:t>To take action to enable all children to have the best outcomes</w:t>
            </w:r>
          </w:p>
        </w:tc>
      </w:tr>
    </w:tbl>
    <w:p w:rsidR="0081676D" w:rsidRDefault="0081676D"/>
    <w:sectPr w:rsidR="0081676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A48A5"/>
    <w:multiLevelType w:val="multilevel"/>
    <w:tmpl w:val="6174FB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6C71531"/>
    <w:multiLevelType w:val="multilevel"/>
    <w:tmpl w:val="5F14F9C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35A57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1676D"/>
    <w:rsid w:val="003B187F"/>
    <w:rsid w:val="00696DAE"/>
    <w:rsid w:val="0081676D"/>
    <w:rsid w:val="00C8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 Idris</dc:creator>
  <cp:lastModifiedBy>Y Idris</cp:lastModifiedBy>
  <cp:revision>4</cp:revision>
  <dcterms:created xsi:type="dcterms:W3CDTF">2018-11-09T14:00:00Z</dcterms:created>
  <dcterms:modified xsi:type="dcterms:W3CDTF">2018-11-09T14:01:00Z</dcterms:modified>
</cp:coreProperties>
</file>