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59011CBB" wp14:editId="1AB8082E">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4A14A9">
                              <w:rPr>
                                <w:rFonts w:ascii="ITC Avant Garde Gothic" w:hAnsi="ITC Avant Garde Gothic"/>
                                <w:color w:val="C11933" w:themeColor="accent1"/>
                                <w:sz w:val="36"/>
                                <w:szCs w:val="36"/>
                              </w:rPr>
                              <w:t>Maths</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466474">
                              <w:rPr>
                                <w:rFonts w:ascii="ITC Avant Garde Gothic" w:hAnsi="ITC Avant Garde Gothic"/>
                                <w:color w:val="C11933" w:themeColor="accent1"/>
                                <w:sz w:val="36"/>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4A14A9">
                        <w:rPr>
                          <w:rFonts w:ascii="ITC Avant Garde Gothic" w:hAnsi="ITC Avant Garde Gothic"/>
                          <w:color w:val="C11933" w:themeColor="accent1"/>
                          <w:sz w:val="36"/>
                          <w:szCs w:val="36"/>
                        </w:rPr>
                        <w:t>Maths</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466474">
                        <w:rPr>
                          <w:rFonts w:ascii="ITC Avant Garde Gothic" w:hAnsi="ITC Avant Garde Gothic"/>
                          <w:color w:val="C11933" w:themeColor="accent1"/>
                          <w:sz w:val="36"/>
                          <w:szCs w:val="36"/>
                        </w:rPr>
                        <w:t>8</w:t>
                      </w:r>
                    </w:p>
                  </w:txbxContent>
                </v:textbox>
              </v:shape>
            </w:pict>
          </mc:Fallback>
        </mc:AlternateContent>
      </w:r>
      <w:r w:rsidR="00966E9D">
        <w:rPr>
          <w:noProof/>
          <w:lang w:eastAsia="en-GB"/>
        </w:rPr>
        <w:drawing>
          <wp:inline distT="0" distB="0" distL="0" distR="0" wp14:anchorId="211E82D0" wp14:editId="2A8D1E96">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002B1B" wp14:editId="2D82A88A">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2C3" w:rsidRDefault="00466474" w:rsidP="00106B20">
                            <w:pPr>
                              <w:rPr>
                                <w:rFonts w:ascii="Century Gothic" w:hAnsi="Century Gothic"/>
                                <w:sz w:val="22"/>
                                <w:szCs w:val="22"/>
                              </w:rPr>
                            </w:pPr>
                            <w:r>
                              <w:rPr>
                                <w:rFonts w:ascii="Century Gothic" w:hAnsi="Century Gothic"/>
                                <w:sz w:val="22"/>
                                <w:szCs w:val="22"/>
                              </w:rPr>
                              <w:t>Ma</w:t>
                            </w:r>
                            <w:r w:rsidR="008A2CA3">
                              <w:rPr>
                                <w:rFonts w:ascii="Century Gothic" w:hAnsi="Century Gothic"/>
                                <w:sz w:val="22"/>
                                <w:szCs w:val="22"/>
                              </w:rPr>
                              <w:t>y</w:t>
                            </w:r>
                            <w:r>
                              <w:rPr>
                                <w:rFonts w:ascii="Century Gothic" w:hAnsi="Century Gothic"/>
                                <w:sz w:val="22"/>
                                <w:szCs w:val="22"/>
                              </w:rPr>
                              <w:t xml:space="preserve"> 2018</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4A14A9">
                              <w:rPr>
                                <w:rFonts w:ascii="Century Gothic" w:hAnsi="Century Gothic"/>
                                <w:sz w:val="22"/>
                                <w:szCs w:val="22"/>
                              </w:rPr>
                              <w:t>Maths</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D712C3" w:rsidRDefault="00466474" w:rsidP="00106B20">
                      <w:pPr>
                        <w:rPr>
                          <w:rFonts w:ascii="Century Gothic" w:hAnsi="Century Gothic"/>
                          <w:sz w:val="22"/>
                          <w:szCs w:val="22"/>
                        </w:rPr>
                      </w:pPr>
                      <w:r>
                        <w:rPr>
                          <w:rFonts w:ascii="Century Gothic" w:hAnsi="Century Gothic"/>
                          <w:sz w:val="22"/>
                          <w:szCs w:val="22"/>
                        </w:rPr>
                        <w:t>Ma</w:t>
                      </w:r>
                      <w:r w:rsidR="008A2CA3">
                        <w:rPr>
                          <w:rFonts w:ascii="Century Gothic" w:hAnsi="Century Gothic"/>
                          <w:sz w:val="22"/>
                          <w:szCs w:val="22"/>
                        </w:rPr>
                        <w:t>y</w:t>
                      </w:r>
                      <w:r>
                        <w:rPr>
                          <w:rFonts w:ascii="Century Gothic" w:hAnsi="Century Gothic"/>
                          <w:sz w:val="22"/>
                          <w:szCs w:val="22"/>
                        </w:rPr>
                        <w:t xml:space="preserve"> 2018</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4A14A9">
                        <w:rPr>
                          <w:rFonts w:ascii="Century Gothic" w:hAnsi="Century Gothic"/>
                          <w:sz w:val="22"/>
                          <w:szCs w:val="22"/>
                        </w:rPr>
                        <w:t>Maths</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4"/>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w:t>
      </w:r>
      <w:proofErr w:type="gramStart"/>
      <w:r w:rsidRPr="00E028D3">
        <w:rPr>
          <w:rFonts w:ascii="Century Gothic" w:hAnsi="Century Gothic"/>
        </w:rPr>
        <w:t>them</w:t>
      </w:r>
      <w:proofErr w:type="gramEnd"/>
      <w:r w:rsidRPr="00E028D3">
        <w:rPr>
          <w:rFonts w:ascii="Century Gothic" w:hAnsi="Century Gothic"/>
        </w:rPr>
        <w:t xml:space="preserve">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B84463" w:rsidP="0001715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125</w:t>
            </w:r>
            <w:r w:rsidR="00017150">
              <w:rPr>
                <w:rFonts w:ascii="Century Gothic" w:hAnsi="Century Gothic"/>
                <w:color w:val="auto"/>
              </w:rPr>
              <w:t>7</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5"/>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6"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BE4599">
        <w:rPr>
          <w:rFonts w:ascii="Century Gothic" w:hAnsi="Century Gothic"/>
          <w:b/>
          <w:sz w:val="22"/>
          <w:szCs w:val="22"/>
        </w:rPr>
        <w:t>0</w:t>
      </w:r>
      <w:r w:rsidRPr="009B5E38">
        <w:rPr>
          <w:rFonts w:ascii="Century Gothic" w:hAnsi="Century Gothic"/>
          <w:b/>
          <w:sz w:val="22"/>
          <w:szCs w:val="22"/>
        </w:rPr>
        <w:t>.00 am on</w:t>
      </w:r>
      <w:r w:rsidR="00BE4599">
        <w:rPr>
          <w:rFonts w:ascii="Century Gothic" w:hAnsi="Century Gothic"/>
          <w:b/>
          <w:sz w:val="22"/>
          <w:szCs w:val="22"/>
        </w:rPr>
        <w:t xml:space="preserve"> </w:t>
      </w:r>
      <w:proofErr w:type="gramStart"/>
      <w:r w:rsidR="000206E3">
        <w:rPr>
          <w:rFonts w:ascii="Century Gothic" w:hAnsi="Century Gothic"/>
          <w:b/>
          <w:sz w:val="22"/>
          <w:szCs w:val="22"/>
        </w:rPr>
        <w:t>21</w:t>
      </w:r>
      <w:r w:rsidR="000206E3" w:rsidRPr="000206E3">
        <w:rPr>
          <w:rFonts w:ascii="Century Gothic" w:hAnsi="Century Gothic"/>
          <w:b/>
          <w:sz w:val="22"/>
          <w:szCs w:val="22"/>
          <w:vertAlign w:val="superscript"/>
        </w:rPr>
        <w:t>st</w:t>
      </w:r>
      <w:r w:rsidR="000206E3">
        <w:rPr>
          <w:rFonts w:ascii="Century Gothic" w:hAnsi="Century Gothic"/>
          <w:b/>
          <w:sz w:val="22"/>
          <w:szCs w:val="22"/>
        </w:rPr>
        <w:t xml:space="preserve"> </w:t>
      </w:r>
      <w:r w:rsidR="008A2CA3">
        <w:rPr>
          <w:rFonts w:ascii="Century Gothic" w:hAnsi="Century Gothic"/>
          <w:b/>
          <w:sz w:val="22"/>
          <w:szCs w:val="22"/>
        </w:rPr>
        <w:t xml:space="preserve"> May</w:t>
      </w:r>
      <w:proofErr w:type="gramEnd"/>
      <w:r w:rsidR="00466474">
        <w:rPr>
          <w:rFonts w:ascii="Century Gothic" w:hAnsi="Century Gothic"/>
          <w:b/>
          <w:sz w:val="22"/>
          <w:szCs w:val="22"/>
        </w:rPr>
        <w:t xml:space="preserve"> 2018</w:t>
      </w:r>
      <w:r w:rsidR="00CB45B6">
        <w:rPr>
          <w:rFonts w:ascii="Century Gothic" w:hAnsi="Century Gothic"/>
          <w:b/>
          <w:sz w:val="22"/>
          <w:szCs w:val="22"/>
        </w:rPr>
        <w:t xml:space="preserve"> </w:t>
      </w:r>
    </w:p>
    <w:p w:rsidR="00A23157" w:rsidRPr="009B5E38" w:rsidRDefault="00A23157" w:rsidP="00A23157">
      <w:pPr>
        <w:rPr>
          <w:rFonts w:ascii="Century Gothic" w:hAnsi="Century Gothic"/>
          <w:b/>
          <w:sz w:val="22"/>
          <w:szCs w:val="22"/>
        </w:rPr>
      </w:pPr>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466474">
        <w:rPr>
          <w:rFonts w:ascii="Century Gothic" w:hAnsi="Century Gothic"/>
          <w:b/>
          <w:sz w:val="22"/>
          <w:szCs w:val="22"/>
        </w:rPr>
        <w:t>week commencing</w:t>
      </w:r>
      <w:r w:rsidR="00BE4599">
        <w:rPr>
          <w:rFonts w:ascii="Century Gothic" w:hAnsi="Century Gothic"/>
          <w:b/>
          <w:sz w:val="22"/>
          <w:szCs w:val="22"/>
        </w:rPr>
        <w:t xml:space="preserve"> </w:t>
      </w:r>
      <w:r w:rsidR="008A2CA3">
        <w:rPr>
          <w:rFonts w:ascii="Century Gothic" w:hAnsi="Century Gothic"/>
          <w:b/>
          <w:sz w:val="22"/>
          <w:szCs w:val="22"/>
        </w:rPr>
        <w:t>21</w:t>
      </w:r>
      <w:r w:rsidR="008A2CA3" w:rsidRPr="008A2CA3">
        <w:rPr>
          <w:rFonts w:ascii="Century Gothic" w:hAnsi="Century Gothic"/>
          <w:b/>
          <w:sz w:val="22"/>
          <w:szCs w:val="22"/>
          <w:vertAlign w:val="superscript"/>
        </w:rPr>
        <w:t>st</w:t>
      </w:r>
      <w:r w:rsidR="008A2CA3">
        <w:rPr>
          <w:rFonts w:ascii="Century Gothic" w:hAnsi="Century Gothic"/>
          <w:b/>
          <w:sz w:val="22"/>
          <w:szCs w:val="22"/>
        </w:rPr>
        <w:t xml:space="preserve"> May</w:t>
      </w:r>
      <w:r w:rsidR="00466474">
        <w:rPr>
          <w:rFonts w:ascii="Century Gothic" w:hAnsi="Century Gothic"/>
          <w:b/>
          <w:sz w:val="22"/>
          <w:szCs w:val="22"/>
        </w:rPr>
        <w:t xml:space="preserve"> 2018</w:t>
      </w:r>
      <w:r w:rsidR="004F4C62">
        <w:rPr>
          <w:rFonts w:ascii="Century Gothic" w:hAnsi="Century Gothic"/>
          <w:b/>
          <w:sz w:val="22"/>
          <w:szCs w:val="22"/>
        </w:rPr>
        <w:t xml:space="preserve"> at</w:t>
      </w:r>
      <w:r w:rsidRPr="00A751E9">
        <w:rPr>
          <w:rFonts w:ascii="Century Gothic" w:hAnsi="Century Gothic"/>
          <w:b/>
          <w:sz w:val="22"/>
          <w:szCs w:val="22"/>
        </w:rPr>
        <w:t xml:space="preserve">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proofErr w:type="spellStart"/>
            <w:r>
              <w:rPr>
                <w:rFonts w:ascii="Century Gothic" w:hAnsi="Century Gothic" w:cs="Arial"/>
                <w:b/>
                <w:sz w:val="22"/>
              </w:rPr>
              <w:t>Mainscale</w:t>
            </w:r>
            <w:proofErr w:type="spellEnd"/>
            <w:r>
              <w:rPr>
                <w:rFonts w:ascii="Century Gothic" w:hAnsi="Century Gothic" w:cs="Arial"/>
                <w:b/>
                <w:sz w:val="22"/>
              </w:rPr>
              <w:t xml:space="preserv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t>
            </w:r>
            <w:r w:rsidR="00906E6D" w:rsidRPr="00497F6B">
              <w:rPr>
                <w:rFonts w:ascii="Century Gothic" w:hAnsi="Century Gothic" w:cs="Arial"/>
                <w:sz w:val="22"/>
                <w:szCs w:val="22"/>
              </w:rPr>
              <w:t>wellbeing</w:t>
            </w:r>
            <w:r w:rsidRPr="00497F6B">
              <w:rPr>
                <w:rFonts w:ascii="Century Gothic" w:hAnsi="Century Gothic" w:cs="Arial"/>
                <w:sz w:val="22"/>
                <w:szCs w:val="22"/>
              </w:rPr>
              <w:t xml:space="preserve">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4A14A9">
        <w:rPr>
          <w:rFonts w:ascii="Century Gothic" w:hAnsi="Century Gothic"/>
          <w:b/>
          <w:color w:val="C11933" w:themeColor="accent1"/>
          <w:sz w:val="32"/>
          <w:szCs w:val="32"/>
        </w:rPr>
        <w:t>Maths</w:t>
      </w:r>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906E6D">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lastRenderedPageBreak/>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 xml:space="preserve">Have a good, up-to-date working knowledge and understanding of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and know how to use and adapt them,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w:t>
            </w:r>
            <w:proofErr w:type="spellStart"/>
            <w:r w:rsidRPr="005C214A">
              <w:rPr>
                <w:rFonts w:ascii="Century Gothic" w:eastAsia="Calibri" w:hAnsi="Century Gothic"/>
                <w:sz w:val="20"/>
                <w:lang w:val="en-US"/>
              </w:rPr>
              <w:t>personalised</w:t>
            </w:r>
            <w:proofErr w:type="spellEnd"/>
            <w:r w:rsidRPr="005C214A">
              <w:rPr>
                <w:rFonts w:ascii="Century Gothic" w:eastAsia="Calibri" w:hAnsi="Century Gothic"/>
                <w:sz w:val="20"/>
                <w:lang w:val="en-US"/>
              </w:rPr>
              <w:t xml:space="preserve"> provision for those they teach, including those for whom English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lastRenderedPageBreak/>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Have an extensive knowledge and understanding of how to use and adapt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rsidR="005D657B" w:rsidRDefault="005D657B" w:rsidP="00FD549E">
            <w:pPr>
              <w:spacing w:line="276" w:lineRule="auto"/>
              <w:ind w:left="426" w:hanging="426"/>
              <w:jc w:val="left"/>
              <w:rPr>
                <w:rFonts w:ascii="Century Gothic" w:eastAsia="Calibri" w:hAnsi="Century Gothic"/>
                <w:sz w:val="20"/>
                <w:lang w:val="en-US"/>
              </w:rPr>
            </w:pPr>
          </w:p>
          <w:p w:rsidR="005D657B" w:rsidRPr="005C214A" w:rsidRDefault="005D657B" w:rsidP="00D40547">
            <w:pPr>
              <w:spacing w:line="276" w:lineRule="auto"/>
              <w:ind w:left="426" w:hanging="426"/>
              <w:jc w:val="left"/>
              <w:rPr>
                <w:rFonts w:ascii="Century Gothic" w:eastAsia="Calibri" w:hAnsi="Century Gothic"/>
                <w:sz w:val="20"/>
                <w:lang w:val="en-US"/>
              </w:rPr>
            </w:pPr>
            <w:bookmarkStart w:id="0" w:name="_GoBack"/>
            <w:bookmarkEnd w:id="0"/>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lastRenderedPageBreak/>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 grounded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 xml:space="preserve">Establish a purposeful and safe learning environment which complies with current legal requirements, national policies and guidance on the safeguarding and </w:t>
            </w:r>
            <w:proofErr w:type="spellStart"/>
            <w:r w:rsidRPr="005C214A">
              <w:rPr>
                <w:rFonts w:ascii="Century Gothic" w:eastAsia="Calibri" w:hAnsi="Century Gothic"/>
                <w:sz w:val="20"/>
              </w:rPr>
              <w:t>well being</w:t>
            </w:r>
            <w:proofErr w:type="spellEnd"/>
            <w:r w:rsidRPr="005C214A">
              <w:rPr>
                <w:rFonts w:ascii="Century Gothic" w:eastAsia="Calibri" w:hAnsi="Century Gothic"/>
                <w:sz w:val="20"/>
              </w:rPr>
              <w:t xml:space="preserve">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lastRenderedPageBreak/>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45" w:rsidRDefault="001F5745" w:rsidP="00AD7A9B">
      <w:r>
        <w:separator/>
      </w:r>
    </w:p>
  </w:endnote>
  <w:endnote w:type="continuationSeparator" w:id="0">
    <w:p w:rsidR="001F5745" w:rsidRDefault="001F5745"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45" w:rsidRDefault="001F5745" w:rsidP="00AD7A9B">
      <w:r>
        <w:separator/>
      </w:r>
    </w:p>
  </w:footnote>
  <w:footnote w:type="continuationSeparator" w:id="0">
    <w:p w:rsidR="001F5745" w:rsidRDefault="001F5745" w:rsidP="00AD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34D"/>
    <w:rsid w:val="00000ECE"/>
    <w:rsid w:val="00017150"/>
    <w:rsid w:val="000206E3"/>
    <w:rsid w:val="000222CF"/>
    <w:rsid w:val="0005300A"/>
    <w:rsid w:val="00062671"/>
    <w:rsid w:val="000646E0"/>
    <w:rsid w:val="00066B0B"/>
    <w:rsid w:val="00066FC7"/>
    <w:rsid w:val="000671F0"/>
    <w:rsid w:val="000724F9"/>
    <w:rsid w:val="0007777F"/>
    <w:rsid w:val="00087E75"/>
    <w:rsid w:val="000A0F17"/>
    <w:rsid w:val="000B67BC"/>
    <w:rsid w:val="00106B20"/>
    <w:rsid w:val="0013064C"/>
    <w:rsid w:val="0015292B"/>
    <w:rsid w:val="001A11D5"/>
    <w:rsid w:val="001D1A7A"/>
    <w:rsid w:val="001E2D84"/>
    <w:rsid w:val="001E6E2E"/>
    <w:rsid w:val="001F5745"/>
    <w:rsid w:val="00200047"/>
    <w:rsid w:val="00205BE1"/>
    <w:rsid w:val="00216D6F"/>
    <w:rsid w:val="0021790C"/>
    <w:rsid w:val="002662A4"/>
    <w:rsid w:val="00273764"/>
    <w:rsid w:val="00292930"/>
    <w:rsid w:val="002B6DC6"/>
    <w:rsid w:val="002D7C08"/>
    <w:rsid w:val="002E5A37"/>
    <w:rsid w:val="002F333B"/>
    <w:rsid w:val="00324C1E"/>
    <w:rsid w:val="00331280"/>
    <w:rsid w:val="003361C7"/>
    <w:rsid w:val="003429C6"/>
    <w:rsid w:val="00360202"/>
    <w:rsid w:val="00361D8D"/>
    <w:rsid w:val="00365FF3"/>
    <w:rsid w:val="003735E3"/>
    <w:rsid w:val="003A1EB6"/>
    <w:rsid w:val="003D7C0C"/>
    <w:rsid w:val="003E373C"/>
    <w:rsid w:val="00410CBF"/>
    <w:rsid w:val="004121A2"/>
    <w:rsid w:val="004351C0"/>
    <w:rsid w:val="004513C6"/>
    <w:rsid w:val="00466474"/>
    <w:rsid w:val="00475FFD"/>
    <w:rsid w:val="00484553"/>
    <w:rsid w:val="00491B22"/>
    <w:rsid w:val="00493FB1"/>
    <w:rsid w:val="004A143E"/>
    <w:rsid w:val="004A14A9"/>
    <w:rsid w:val="004E4C8D"/>
    <w:rsid w:val="004E4D7F"/>
    <w:rsid w:val="004F4786"/>
    <w:rsid w:val="004F4C62"/>
    <w:rsid w:val="00525B14"/>
    <w:rsid w:val="00557EAD"/>
    <w:rsid w:val="00580449"/>
    <w:rsid w:val="00587AE3"/>
    <w:rsid w:val="005A7CC5"/>
    <w:rsid w:val="005B4E91"/>
    <w:rsid w:val="005B7AEF"/>
    <w:rsid w:val="005C3659"/>
    <w:rsid w:val="005C5D58"/>
    <w:rsid w:val="005D657B"/>
    <w:rsid w:val="005F1DB1"/>
    <w:rsid w:val="005F619D"/>
    <w:rsid w:val="00612759"/>
    <w:rsid w:val="00616A16"/>
    <w:rsid w:val="0063054A"/>
    <w:rsid w:val="00632E4D"/>
    <w:rsid w:val="006549BD"/>
    <w:rsid w:val="00660088"/>
    <w:rsid w:val="006604BF"/>
    <w:rsid w:val="00680428"/>
    <w:rsid w:val="006C2952"/>
    <w:rsid w:val="006D352B"/>
    <w:rsid w:val="006D4FA8"/>
    <w:rsid w:val="00712DE7"/>
    <w:rsid w:val="00733DA1"/>
    <w:rsid w:val="007643AC"/>
    <w:rsid w:val="007664B9"/>
    <w:rsid w:val="0078336D"/>
    <w:rsid w:val="007928F9"/>
    <w:rsid w:val="007E2D97"/>
    <w:rsid w:val="008153D7"/>
    <w:rsid w:val="00843976"/>
    <w:rsid w:val="00854D36"/>
    <w:rsid w:val="00874E98"/>
    <w:rsid w:val="008751AC"/>
    <w:rsid w:val="00875A83"/>
    <w:rsid w:val="00890692"/>
    <w:rsid w:val="008A2CA3"/>
    <w:rsid w:val="008B156C"/>
    <w:rsid w:val="008B5142"/>
    <w:rsid w:val="008E56F4"/>
    <w:rsid w:val="008F1ADF"/>
    <w:rsid w:val="008F5626"/>
    <w:rsid w:val="00906E6D"/>
    <w:rsid w:val="00932DAF"/>
    <w:rsid w:val="0094180C"/>
    <w:rsid w:val="00953868"/>
    <w:rsid w:val="00956DAA"/>
    <w:rsid w:val="00960E02"/>
    <w:rsid w:val="00966E9D"/>
    <w:rsid w:val="00975422"/>
    <w:rsid w:val="00990B43"/>
    <w:rsid w:val="009B4645"/>
    <w:rsid w:val="009B5E38"/>
    <w:rsid w:val="009C58AC"/>
    <w:rsid w:val="009E079E"/>
    <w:rsid w:val="009F4CC1"/>
    <w:rsid w:val="00A23157"/>
    <w:rsid w:val="00A2671E"/>
    <w:rsid w:val="00A300E4"/>
    <w:rsid w:val="00A41522"/>
    <w:rsid w:val="00A438C4"/>
    <w:rsid w:val="00A7493F"/>
    <w:rsid w:val="00A751E9"/>
    <w:rsid w:val="00AB4C8A"/>
    <w:rsid w:val="00AC7F5D"/>
    <w:rsid w:val="00AD27C7"/>
    <w:rsid w:val="00AD7A9B"/>
    <w:rsid w:val="00B02268"/>
    <w:rsid w:val="00B05AB4"/>
    <w:rsid w:val="00B25EE8"/>
    <w:rsid w:val="00B43B3C"/>
    <w:rsid w:val="00B647F9"/>
    <w:rsid w:val="00B670E4"/>
    <w:rsid w:val="00B80301"/>
    <w:rsid w:val="00B84463"/>
    <w:rsid w:val="00B96C94"/>
    <w:rsid w:val="00B977FE"/>
    <w:rsid w:val="00BA0FA0"/>
    <w:rsid w:val="00BB0DB8"/>
    <w:rsid w:val="00BC4EEB"/>
    <w:rsid w:val="00BD5ED5"/>
    <w:rsid w:val="00BE4599"/>
    <w:rsid w:val="00BF315E"/>
    <w:rsid w:val="00C01AF7"/>
    <w:rsid w:val="00C65972"/>
    <w:rsid w:val="00C81927"/>
    <w:rsid w:val="00CA2249"/>
    <w:rsid w:val="00CB1FE9"/>
    <w:rsid w:val="00CB45B6"/>
    <w:rsid w:val="00CF39D2"/>
    <w:rsid w:val="00D003B8"/>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40AEC"/>
    <w:rsid w:val="00E43498"/>
    <w:rsid w:val="00E445AF"/>
    <w:rsid w:val="00E53C31"/>
    <w:rsid w:val="00E70008"/>
    <w:rsid w:val="00E755DD"/>
    <w:rsid w:val="00E83355"/>
    <w:rsid w:val="00E95396"/>
    <w:rsid w:val="00EA343C"/>
    <w:rsid w:val="00EA4E57"/>
    <w:rsid w:val="00EC0117"/>
    <w:rsid w:val="00F26A38"/>
    <w:rsid w:val="00F27734"/>
    <w:rsid w:val="00F45F4C"/>
    <w:rsid w:val="00F634DA"/>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21D5C.0EBFE7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cancies@harpergre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21D5C.0EBFE7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8052-2AEE-42FD-ACB8-5EC58C7B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Windows User</cp:lastModifiedBy>
  <cp:revision>9</cp:revision>
  <cp:lastPrinted>2016-10-03T08:34:00Z</cp:lastPrinted>
  <dcterms:created xsi:type="dcterms:W3CDTF">2018-03-20T12:01:00Z</dcterms:created>
  <dcterms:modified xsi:type="dcterms:W3CDTF">2018-05-11T13:59:00Z</dcterms:modified>
</cp:coreProperties>
</file>