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01" w:rsidRPr="00354901" w:rsidRDefault="00354901" w:rsidP="00354901">
      <w:pPr>
        <w:pStyle w:val="BodyText"/>
        <w:tabs>
          <w:tab w:val="left" w:pos="7800"/>
        </w:tabs>
        <w:rPr>
          <w:sz w:val="20"/>
          <w:szCs w:val="20"/>
        </w:rPr>
      </w:pPr>
      <w:r w:rsidRPr="00354901">
        <w:rPr>
          <w:sz w:val="20"/>
          <w:szCs w:val="20"/>
        </w:rPr>
        <w:t xml:space="preserve">Responsibility Profile for SENCO </w:t>
      </w:r>
    </w:p>
    <w:p w:rsidR="00354901" w:rsidRPr="00354901" w:rsidRDefault="00354901" w:rsidP="00354901">
      <w:pPr>
        <w:rPr>
          <w:sz w:val="20"/>
          <w:szCs w:val="20"/>
        </w:rPr>
      </w:pPr>
      <w:r w:rsidRPr="00354901">
        <w:rPr>
          <w:sz w:val="20"/>
          <w:szCs w:val="20"/>
        </w:rPr>
        <w:tab/>
      </w:r>
      <w:r w:rsidRPr="00354901">
        <w:rPr>
          <w:sz w:val="20"/>
          <w:szCs w:val="20"/>
        </w:rPr>
        <w:tab/>
      </w:r>
      <w:r w:rsidRPr="00354901">
        <w:rPr>
          <w:sz w:val="20"/>
          <w:szCs w:val="20"/>
        </w:rPr>
        <w:tab/>
      </w:r>
    </w:p>
    <w:p w:rsidR="00354901" w:rsidRPr="00354901" w:rsidRDefault="00354901" w:rsidP="00354901">
      <w:pPr>
        <w:rPr>
          <w:sz w:val="20"/>
          <w:szCs w:val="20"/>
        </w:rPr>
      </w:pPr>
      <w:r w:rsidRPr="00354901">
        <w:rPr>
          <w:b/>
          <w:sz w:val="20"/>
          <w:szCs w:val="20"/>
        </w:rPr>
        <w:t>Title:</w:t>
      </w:r>
      <w:r w:rsidRPr="00354901">
        <w:rPr>
          <w:b/>
          <w:sz w:val="20"/>
          <w:szCs w:val="20"/>
        </w:rPr>
        <w:tab/>
      </w:r>
      <w:r w:rsidRPr="00354901">
        <w:rPr>
          <w:sz w:val="20"/>
          <w:szCs w:val="20"/>
        </w:rPr>
        <w:tab/>
      </w:r>
      <w:r w:rsidRPr="00354901">
        <w:rPr>
          <w:sz w:val="20"/>
          <w:szCs w:val="20"/>
        </w:rPr>
        <w:tab/>
      </w:r>
      <w:r w:rsidRPr="00354901">
        <w:rPr>
          <w:sz w:val="20"/>
          <w:szCs w:val="20"/>
        </w:rPr>
        <w:tab/>
        <w:t>SENCO</w:t>
      </w:r>
    </w:p>
    <w:p w:rsidR="00354901" w:rsidRPr="00354901" w:rsidRDefault="00354901" w:rsidP="00354901">
      <w:pPr>
        <w:rPr>
          <w:sz w:val="20"/>
          <w:szCs w:val="20"/>
        </w:rPr>
      </w:pPr>
      <w:r w:rsidRPr="00354901">
        <w:rPr>
          <w:b/>
          <w:sz w:val="20"/>
          <w:szCs w:val="20"/>
        </w:rPr>
        <w:t>Responsible to:</w:t>
      </w:r>
      <w:r w:rsidRPr="00354901">
        <w:rPr>
          <w:sz w:val="20"/>
          <w:szCs w:val="20"/>
        </w:rPr>
        <w:tab/>
      </w:r>
      <w:r w:rsidRPr="00354901">
        <w:rPr>
          <w:color w:val="FF0000"/>
          <w:sz w:val="20"/>
          <w:szCs w:val="20"/>
        </w:rPr>
        <w:tab/>
      </w:r>
      <w:r w:rsidRPr="00354901">
        <w:rPr>
          <w:color w:val="000000"/>
          <w:sz w:val="20"/>
          <w:szCs w:val="20"/>
        </w:rPr>
        <w:t>Assistant Head-teacher with oversight for SEND</w:t>
      </w:r>
      <w:r w:rsidRPr="00354901">
        <w:rPr>
          <w:sz w:val="20"/>
          <w:szCs w:val="20"/>
        </w:rPr>
        <w:t xml:space="preserve"> </w:t>
      </w:r>
    </w:p>
    <w:p w:rsidR="00354901" w:rsidRPr="00354901" w:rsidRDefault="00354901" w:rsidP="00354901">
      <w:pPr>
        <w:rPr>
          <w:sz w:val="20"/>
          <w:szCs w:val="20"/>
        </w:rPr>
      </w:pPr>
      <w:r w:rsidRPr="00354901">
        <w:rPr>
          <w:b/>
          <w:sz w:val="20"/>
          <w:szCs w:val="20"/>
        </w:rPr>
        <w:t>Date:</w:t>
      </w:r>
      <w:r w:rsidRPr="00354901">
        <w:rPr>
          <w:b/>
          <w:sz w:val="20"/>
          <w:szCs w:val="20"/>
        </w:rPr>
        <w:tab/>
      </w:r>
      <w:r w:rsidRPr="00354901">
        <w:rPr>
          <w:sz w:val="20"/>
          <w:szCs w:val="20"/>
        </w:rPr>
        <w:tab/>
      </w:r>
      <w:r w:rsidRPr="00354901">
        <w:rPr>
          <w:sz w:val="20"/>
          <w:szCs w:val="20"/>
        </w:rPr>
        <w:tab/>
      </w:r>
      <w:r w:rsidRPr="00354901">
        <w:rPr>
          <w:sz w:val="20"/>
          <w:szCs w:val="20"/>
        </w:rPr>
        <w:tab/>
        <w:t>September 2017</w:t>
      </w:r>
    </w:p>
    <w:p w:rsidR="00354901" w:rsidRPr="00354901" w:rsidRDefault="00354901" w:rsidP="00354901">
      <w:pPr>
        <w:rPr>
          <w:sz w:val="20"/>
          <w:szCs w:val="20"/>
        </w:rPr>
      </w:pPr>
    </w:p>
    <w:p w:rsidR="00354901" w:rsidRPr="00354901" w:rsidRDefault="00354901" w:rsidP="00354901">
      <w:pPr>
        <w:rPr>
          <w:sz w:val="20"/>
          <w:szCs w:val="20"/>
        </w:rPr>
      </w:pPr>
      <w:r w:rsidRPr="00354901">
        <w:rPr>
          <w:b/>
          <w:bCs/>
          <w:sz w:val="20"/>
          <w:szCs w:val="20"/>
        </w:rPr>
        <w:t>Duties</w:t>
      </w:r>
      <w:r w:rsidRPr="00354901">
        <w:rPr>
          <w:b/>
          <w:sz w:val="20"/>
          <w:szCs w:val="20"/>
        </w:rPr>
        <w:t>:</w:t>
      </w:r>
      <w:r w:rsidRPr="00354901">
        <w:rPr>
          <w:sz w:val="20"/>
          <w:szCs w:val="20"/>
        </w:rPr>
        <w:tab/>
      </w:r>
      <w:r w:rsidRPr="00354901">
        <w:rPr>
          <w:bCs/>
          <w:sz w:val="20"/>
          <w:szCs w:val="20"/>
        </w:rPr>
        <w:t>The current School Teachers’ Pay and Conditions Document</w:t>
      </w:r>
      <w:r w:rsidRPr="00354901">
        <w:rPr>
          <w:bCs/>
          <w:noProof/>
          <w:sz w:val="20"/>
          <w:szCs w:val="20"/>
        </w:rPr>
        <w:t xml:space="preserve"> and the Professional Standards for Teachers applies to the </w:t>
      </w:r>
      <w:r w:rsidRPr="00354901">
        <w:rPr>
          <w:bCs/>
          <w:sz w:val="20"/>
          <w:szCs w:val="20"/>
        </w:rPr>
        <w:t>professional duties of all teachers in</w:t>
      </w:r>
      <w:r w:rsidRPr="00354901">
        <w:rPr>
          <w:sz w:val="20"/>
          <w:szCs w:val="20"/>
        </w:rPr>
        <w:t xml:space="preserve"> </w:t>
      </w:r>
      <w:r w:rsidRPr="00354901">
        <w:rPr>
          <w:bCs/>
          <w:noProof/>
          <w:sz w:val="20"/>
          <w:szCs w:val="20"/>
        </w:rPr>
        <w:t>all teaching posts.</w:t>
      </w:r>
    </w:p>
    <w:p w:rsidR="00354901" w:rsidRPr="00354901" w:rsidRDefault="00354901" w:rsidP="00354901">
      <w:pPr>
        <w:rPr>
          <w:sz w:val="20"/>
          <w:szCs w:val="20"/>
        </w:rPr>
      </w:pPr>
    </w:p>
    <w:p w:rsidR="00354901" w:rsidRPr="00354901" w:rsidRDefault="00354901" w:rsidP="00354901">
      <w:pPr>
        <w:rPr>
          <w:b/>
          <w:bCs/>
          <w:sz w:val="20"/>
          <w:szCs w:val="20"/>
        </w:rPr>
      </w:pPr>
    </w:p>
    <w:p w:rsidR="00354901" w:rsidRPr="00354901" w:rsidRDefault="00354901" w:rsidP="00354901">
      <w:pPr>
        <w:rPr>
          <w:sz w:val="20"/>
          <w:szCs w:val="20"/>
        </w:rPr>
      </w:pPr>
      <w:r w:rsidRPr="00354901">
        <w:rPr>
          <w:b/>
          <w:bCs/>
          <w:sz w:val="20"/>
          <w:szCs w:val="20"/>
        </w:rPr>
        <w:t>Pay Scale:</w:t>
      </w:r>
      <w:r w:rsidRPr="00354901">
        <w:rPr>
          <w:sz w:val="20"/>
          <w:szCs w:val="20"/>
        </w:rPr>
        <w:t xml:space="preserve">  Leadership Scale 6-8</w:t>
      </w:r>
    </w:p>
    <w:p w:rsidR="00354901" w:rsidRPr="00354901" w:rsidRDefault="00354901" w:rsidP="00354901">
      <w:pPr>
        <w:pStyle w:val="Header"/>
        <w:tabs>
          <w:tab w:val="clear" w:pos="4320"/>
          <w:tab w:val="clear" w:pos="8640"/>
        </w:tabs>
        <w:rPr>
          <w:rFonts w:ascii="Arial" w:hAnsi="Arial" w:cs="Arial"/>
          <w:sz w:val="20"/>
          <w:szCs w:val="20"/>
          <w:lang w:val="en-GB"/>
        </w:rPr>
      </w:pPr>
    </w:p>
    <w:p w:rsidR="00354901" w:rsidRPr="00354901" w:rsidRDefault="00354901" w:rsidP="00354901">
      <w:pPr>
        <w:rPr>
          <w:sz w:val="20"/>
          <w:szCs w:val="20"/>
        </w:rPr>
      </w:pPr>
      <w:r w:rsidRPr="00354901">
        <w:rPr>
          <w:sz w:val="20"/>
          <w:szCs w:val="20"/>
        </w:rPr>
        <w:t xml:space="preserve">Approximately 15% of students at </w:t>
      </w:r>
      <w:proofErr w:type="spellStart"/>
      <w:proofErr w:type="gramStart"/>
      <w:r w:rsidRPr="00354901">
        <w:rPr>
          <w:sz w:val="20"/>
          <w:szCs w:val="20"/>
        </w:rPr>
        <w:t>Moulsham</w:t>
      </w:r>
      <w:proofErr w:type="spellEnd"/>
      <w:r w:rsidRPr="00354901">
        <w:rPr>
          <w:sz w:val="20"/>
          <w:szCs w:val="20"/>
        </w:rPr>
        <w:t xml:space="preserve">  High</w:t>
      </w:r>
      <w:proofErr w:type="gramEnd"/>
      <w:r w:rsidRPr="00354901">
        <w:rPr>
          <w:sz w:val="20"/>
          <w:szCs w:val="20"/>
        </w:rPr>
        <w:t xml:space="preserve"> School are deemed  to have some SEN. Our students are primarily supported in lessons by a team of Faculty based Learning Support Assistants and Higher Level Teaching Assistants in English and Humanities. There are also a number of Learning Support Assistants who work closely with students with more complex needs. The Student Support centre is used to provide additional support to pupils throughout the school day. The school works with a variety of external agencies to provide additional support to students where necessary.</w:t>
      </w:r>
    </w:p>
    <w:p w:rsidR="00354901" w:rsidRPr="00354901" w:rsidRDefault="00354901" w:rsidP="00354901">
      <w:pPr>
        <w:rPr>
          <w:sz w:val="20"/>
          <w:szCs w:val="20"/>
        </w:rPr>
      </w:pPr>
    </w:p>
    <w:p w:rsidR="00354901" w:rsidRPr="00354901" w:rsidRDefault="00354901" w:rsidP="00354901">
      <w:pPr>
        <w:rPr>
          <w:sz w:val="20"/>
          <w:szCs w:val="20"/>
        </w:rPr>
      </w:pPr>
      <w:r w:rsidRPr="00354901">
        <w:rPr>
          <w:sz w:val="20"/>
          <w:szCs w:val="20"/>
        </w:rPr>
        <w:t xml:space="preserve">The successful candidate will be expected to teach 0.4 of a timetable. The remainder of his/her time will be divided as follows: 0.5 dedicated SENCO at </w:t>
      </w:r>
      <w:proofErr w:type="spellStart"/>
      <w:r w:rsidRPr="00354901">
        <w:rPr>
          <w:sz w:val="20"/>
          <w:szCs w:val="20"/>
        </w:rPr>
        <w:t>Moulsham</w:t>
      </w:r>
      <w:proofErr w:type="spellEnd"/>
      <w:r w:rsidRPr="00354901">
        <w:rPr>
          <w:sz w:val="20"/>
          <w:szCs w:val="20"/>
        </w:rPr>
        <w:t xml:space="preserve"> High School, 0.1 SEN work across the Bridge Academy Trust.</w:t>
      </w:r>
    </w:p>
    <w:p w:rsidR="00354901" w:rsidRPr="00354901" w:rsidRDefault="00354901" w:rsidP="00354901">
      <w:pPr>
        <w:rPr>
          <w:sz w:val="20"/>
          <w:szCs w:val="20"/>
        </w:rPr>
      </w:pPr>
    </w:p>
    <w:p w:rsidR="00354901" w:rsidRPr="00354901" w:rsidRDefault="00354901" w:rsidP="00354901">
      <w:pPr>
        <w:rPr>
          <w:b/>
          <w:sz w:val="20"/>
          <w:szCs w:val="20"/>
        </w:rPr>
      </w:pPr>
      <w:r w:rsidRPr="00354901">
        <w:rPr>
          <w:b/>
          <w:sz w:val="20"/>
          <w:szCs w:val="20"/>
        </w:rPr>
        <w:t>The SENCO will be accountable for:</w:t>
      </w:r>
    </w:p>
    <w:p w:rsidR="00354901" w:rsidRPr="00354901" w:rsidRDefault="00354901" w:rsidP="00354901">
      <w:pPr>
        <w:rPr>
          <w:sz w:val="20"/>
          <w:szCs w:val="20"/>
        </w:rPr>
      </w:pPr>
    </w:p>
    <w:p w:rsidR="00354901" w:rsidRPr="00354901" w:rsidRDefault="00354901" w:rsidP="00354901">
      <w:pPr>
        <w:numPr>
          <w:ilvl w:val="0"/>
          <w:numId w:val="1"/>
        </w:numPr>
        <w:rPr>
          <w:sz w:val="20"/>
          <w:szCs w:val="20"/>
        </w:rPr>
      </w:pPr>
      <w:r w:rsidRPr="00354901">
        <w:rPr>
          <w:sz w:val="20"/>
          <w:szCs w:val="20"/>
        </w:rPr>
        <w:t>The progress made by SEND students at MHS.</w:t>
      </w:r>
    </w:p>
    <w:p w:rsidR="00354901" w:rsidRPr="00354901" w:rsidRDefault="00354901" w:rsidP="00354901">
      <w:pPr>
        <w:numPr>
          <w:ilvl w:val="0"/>
          <w:numId w:val="1"/>
        </w:numPr>
        <w:rPr>
          <w:sz w:val="20"/>
          <w:szCs w:val="20"/>
        </w:rPr>
      </w:pPr>
      <w:r w:rsidRPr="00354901">
        <w:rPr>
          <w:sz w:val="20"/>
          <w:szCs w:val="20"/>
        </w:rPr>
        <w:t>The quality of provision for SEND students at MHS ensuring that it meets all statutory requirements.</w:t>
      </w:r>
    </w:p>
    <w:p w:rsidR="00354901" w:rsidRPr="00354901" w:rsidRDefault="00354901" w:rsidP="00354901">
      <w:pPr>
        <w:rPr>
          <w:sz w:val="20"/>
          <w:szCs w:val="20"/>
        </w:rPr>
      </w:pPr>
    </w:p>
    <w:p w:rsidR="00354901" w:rsidRPr="00354901" w:rsidRDefault="00354901" w:rsidP="00354901">
      <w:pPr>
        <w:rPr>
          <w:b/>
          <w:sz w:val="20"/>
          <w:szCs w:val="20"/>
        </w:rPr>
      </w:pPr>
      <w:r w:rsidRPr="00354901">
        <w:rPr>
          <w:b/>
          <w:sz w:val="20"/>
          <w:szCs w:val="20"/>
        </w:rPr>
        <w:t>The SENCO will be responsible for:</w:t>
      </w:r>
    </w:p>
    <w:p w:rsidR="00354901" w:rsidRPr="00354901" w:rsidRDefault="00354901" w:rsidP="00354901">
      <w:pPr>
        <w:rPr>
          <w:b/>
          <w:sz w:val="20"/>
          <w:szCs w:val="20"/>
        </w:rPr>
      </w:pPr>
    </w:p>
    <w:p w:rsidR="00354901" w:rsidRPr="00354901" w:rsidRDefault="00354901" w:rsidP="00354901">
      <w:pPr>
        <w:numPr>
          <w:ilvl w:val="0"/>
          <w:numId w:val="2"/>
        </w:numPr>
        <w:rPr>
          <w:sz w:val="20"/>
          <w:szCs w:val="20"/>
        </w:rPr>
      </w:pPr>
      <w:r w:rsidRPr="00354901">
        <w:rPr>
          <w:sz w:val="20"/>
          <w:szCs w:val="20"/>
        </w:rPr>
        <w:t>Ensuring the school has an effective ‘Special Needs Policy’ which reflects the current Code of Practice and is implementing this policy.</w:t>
      </w:r>
    </w:p>
    <w:p w:rsidR="00354901" w:rsidRPr="00354901" w:rsidRDefault="00354901" w:rsidP="00354901">
      <w:pPr>
        <w:numPr>
          <w:ilvl w:val="0"/>
          <w:numId w:val="2"/>
        </w:numPr>
        <w:rPr>
          <w:sz w:val="20"/>
          <w:szCs w:val="20"/>
        </w:rPr>
      </w:pPr>
      <w:r w:rsidRPr="00354901">
        <w:rPr>
          <w:sz w:val="20"/>
          <w:szCs w:val="20"/>
        </w:rPr>
        <w:t>Co-ordinating assessments of students’ needs.</w:t>
      </w:r>
    </w:p>
    <w:p w:rsidR="00354901" w:rsidRPr="00354901" w:rsidRDefault="00354901" w:rsidP="00354901">
      <w:pPr>
        <w:numPr>
          <w:ilvl w:val="0"/>
          <w:numId w:val="2"/>
        </w:numPr>
        <w:rPr>
          <w:sz w:val="20"/>
          <w:szCs w:val="20"/>
        </w:rPr>
      </w:pPr>
      <w:r w:rsidRPr="00354901">
        <w:rPr>
          <w:sz w:val="20"/>
          <w:szCs w:val="20"/>
        </w:rPr>
        <w:t>Setting targets and sharing this information with staff and governors.</w:t>
      </w:r>
    </w:p>
    <w:p w:rsidR="00354901" w:rsidRPr="00354901" w:rsidRDefault="00354901" w:rsidP="00354901">
      <w:pPr>
        <w:numPr>
          <w:ilvl w:val="0"/>
          <w:numId w:val="2"/>
        </w:numPr>
        <w:rPr>
          <w:sz w:val="20"/>
          <w:szCs w:val="20"/>
        </w:rPr>
      </w:pPr>
      <w:r w:rsidRPr="00354901">
        <w:rPr>
          <w:sz w:val="20"/>
          <w:szCs w:val="20"/>
        </w:rPr>
        <w:t>Liaising with outside agencies where required.</w:t>
      </w:r>
    </w:p>
    <w:p w:rsidR="00354901" w:rsidRPr="00354901" w:rsidRDefault="00354901" w:rsidP="00354901">
      <w:pPr>
        <w:numPr>
          <w:ilvl w:val="0"/>
          <w:numId w:val="2"/>
        </w:numPr>
        <w:rPr>
          <w:sz w:val="20"/>
          <w:szCs w:val="20"/>
        </w:rPr>
      </w:pPr>
      <w:r w:rsidRPr="00354901">
        <w:rPr>
          <w:sz w:val="20"/>
          <w:szCs w:val="20"/>
        </w:rPr>
        <w:t>Effectively managing the SEND budget.</w:t>
      </w:r>
    </w:p>
    <w:p w:rsidR="00354901" w:rsidRPr="00354901" w:rsidRDefault="00354901" w:rsidP="00354901">
      <w:pPr>
        <w:numPr>
          <w:ilvl w:val="0"/>
          <w:numId w:val="2"/>
        </w:numPr>
        <w:rPr>
          <w:sz w:val="20"/>
          <w:szCs w:val="20"/>
        </w:rPr>
      </w:pPr>
      <w:r w:rsidRPr="00354901">
        <w:rPr>
          <w:sz w:val="20"/>
          <w:szCs w:val="20"/>
        </w:rPr>
        <w:t>The professional development of Student Support staff.</w:t>
      </w:r>
    </w:p>
    <w:p w:rsidR="00354901" w:rsidRPr="00354901" w:rsidRDefault="00354901" w:rsidP="00354901">
      <w:pPr>
        <w:numPr>
          <w:ilvl w:val="0"/>
          <w:numId w:val="2"/>
        </w:numPr>
        <w:rPr>
          <w:sz w:val="20"/>
          <w:szCs w:val="20"/>
        </w:rPr>
      </w:pPr>
      <w:r w:rsidRPr="00354901">
        <w:rPr>
          <w:sz w:val="20"/>
          <w:szCs w:val="20"/>
        </w:rPr>
        <w:t>Sharing good practice in the teaching of SEND students across the school.</w:t>
      </w:r>
    </w:p>
    <w:p w:rsidR="00354901" w:rsidRPr="00354901" w:rsidRDefault="00354901" w:rsidP="00354901">
      <w:pPr>
        <w:numPr>
          <w:ilvl w:val="0"/>
          <w:numId w:val="2"/>
        </w:numPr>
        <w:rPr>
          <w:sz w:val="20"/>
          <w:szCs w:val="20"/>
        </w:rPr>
      </w:pPr>
      <w:r w:rsidRPr="00354901">
        <w:rPr>
          <w:sz w:val="20"/>
          <w:szCs w:val="20"/>
        </w:rPr>
        <w:t>Analysing the progress data of SEN students, implementing appropriate intervention where there is underperformance and monitoring its impact.</w:t>
      </w:r>
    </w:p>
    <w:p w:rsidR="00354901" w:rsidRPr="00354901" w:rsidRDefault="00354901" w:rsidP="00354901">
      <w:pPr>
        <w:numPr>
          <w:ilvl w:val="0"/>
          <w:numId w:val="2"/>
        </w:numPr>
        <w:rPr>
          <w:sz w:val="20"/>
          <w:szCs w:val="20"/>
        </w:rPr>
      </w:pPr>
      <w:r w:rsidRPr="00354901">
        <w:rPr>
          <w:sz w:val="20"/>
          <w:szCs w:val="20"/>
        </w:rPr>
        <w:t>Deploying Student Support staff and resources effectively.</w:t>
      </w:r>
    </w:p>
    <w:p w:rsidR="00354901" w:rsidRPr="00354901" w:rsidRDefault="00354901" w:rsidP="00354901">
      <w:pPr>
        <w:rPr>
          <w:sz w:val="20"/>
          <w:szCs w:val="20"/>
        </w:rPr>
      </w:pPr>
    </w:p>
    <w:p w:rsidR="00354901" w:rsidRPr="00354901" w:rsidRDefault="00354901" w:rsidP="00354901">
      <w:pPr>
        <w:rPr>
          <w:b/>
          <w:sz w:val="20"/>
          <w:szCs w:val="20"/>
        </w:rPr>
      </w:pPr>
      <w:r w:rsidRPr="00354901">
        <w:rPr>
          <w:b/>
          <w:sz w:val="20"/>
          <w:szCs w:val="20"/>
        </w:rPr>
        <w:t>The SENCO will also be expected to:</w:t>
      </w:r>
    </w:p>
    <w:p w:rsidR="00354901" w:rsidRPr="00354901" w:rsidRDefault="00354901" w:rsidP="00354901">
      <w:pPr>
        <w:rPr>
          <w:sz w:val="20"/>
          <w:szCs w:val="20"/>
        </w:rPr>
      </w:pPr>
    </w:p>
    <w:p w:rsidR="00354901" w:rsidRPr="00354901" w:rsidRDefault="00354901" w:rsidP="00354901">
      <w:pPr>
        <w:numPr>
          <w:ilvl w:val="0"/>
          <w:numId w:val="3"/>
        </w:numPr>
        <w:rPr>
          <w:sz w:val="20"/>
          <w:szCs w:val="20"/>
        </w:rPr>
      </w:pPr>
      <w:r w:rsidRPr="00354901">
        <w:rPr>
          <w:sz w:val="20"/>
          <w:szCs w:val="20"/>
        </w:rPr>
        <w:t>Performance Manage members of the Student Support team as appropriate.</w:t>
      </w:r>
    </w:p>
    <w:p w:rsidR="00354901" w:rsidRPr="00354901" w:rsidRDefault="00354901" w:rsidP="00354901">
      <w:pPr>
        <w:numPr>
          <w:ilvl w:val="0"/>
          <w:numId w:val="3"/>
        </w:numPr>
        <w:rPr>
          <w:sz w:val="20"/>
          <w:szCs w:val="20"/>
        </w:rPr>
      </w:pPr>
      <w:r w:rsidRPr="00354901">
        <w:rPr>
          <w:sz w:val="20"/>
          <w:szCs w:val="20"/>
        </w:rPr>
        <w:t>Participate in the recruitment of Student Support staff.</w:t>
      </w:r>
    </w:p>
    <w:p w:rsidR="00354901" w:rsidRPr="00354901" w:rsidRDefault="00354901" w:rsidP="00354901">
      <w:pPr>
        <w:numPr>
          <w:ilvl w:val="0"/>
          <w:numId w:val="3"/>
        </w:numPr>
        <w:rPr>
          <w:sz w:val="20"/>
          <w:szCs w:val="20"/>
        </w:rPr>
      </w:pPr>
      <w:r w:rsidRPr="00354901">
        <w:rPr>
          <w:sz w:val="20"/>
          <w:szCs w:val="20"/>
        </w:rPr>
        <w:t>Attend Senior Leadership team / Executive meetings as required.</w:t>
      </w:r>
    </w:p>
    <w:p w:rsidR="00354901" w:rsidRPr="00354901" w:rsidRDefault="00354901" w:rsidP="00354901">
      <w:pPr>
        <w:rPr>
          <w:sz w:val="20"/>
          <w:szCs w:val="20"/>
        </w:rPr>
      </w:pPr>
    </w:p>
    <w:p w:rsidR="00354901" w:rsidRPr="00354901" w:rsidRDefault="00354901" w:rsidP="00354901">
      <w:pPr>
        <w:rPr>
          <w:sz w:val="20"/>
          <w:szCs w:val="20"/>
        </w:rPr>
      </w:pPr>
      <w:r w:rsidRPr="00354901">
        <w:rPr>
          <w:sz w:val="20"/>
          <w:szCs w:val="20"/>
        </w:rPr>
        <w:t>The duties listed above are neither exclusive nor exhaustive and the post-holder may be required by the Head of School to carry out appropriate duties within the job, skills and grade.</w:t>
      </w:r>
    </w:p>
    <w:p w:rsidR="00354901" w:rsidRPr="00354901" w:rsidRDefault="00354901" w:rsidP="00354901">
      <w:pPr>
        <w:rPr>
          <w:sz w:val="20"/>
          <w:szCs w:val="20"/>
        </w:rPr>
      </w:pPr>
    </w:p>
    <w:p w:rsidR="00354901" w:rsidRPr="00354901" w:rsidRDefault="00354901" w:rsidP="00354901">
      <w:pPr>
        <w:rPr>
          <w:sz w:val="20"/>
          <w:szCs w:val="20"/>
        </w:rPr>
      </w:pPr>
      <w:r w:rsidRPr="00354901">
        <w:rPr>
          <w:sz w:val="20"/>
          <w:szCs w:val="20"/>
        </w:rPr>
        <w:t>This job description is not necessarily a comprehensive definition of the post and may be subject to modification or amendment at any time after consultation with the post-holder.</w:t>
      </w:r>
    </w:p>
    <w:p w:rsidR="00354901" w:rsidRPr="00354901" w:rsidRDefault="00354901" w:rsidP="00354901">
      <w:pPr>
        <w:rPr>
          <w:sz w:val="20"/>
          <w:szCs w:val="20"/>
        </w:rPr>
      </w:pPr>
    </w:p>
    <w:p w:rsidR="00354901" w:rsidRPr="00354901" w:rsidRDefault="00354901" w:rsidP="00354901">
      <w:pPr>
        <w:rPr>
          <w:sz w:val="20"/>
          <w:szCs w:val="20"/>
        </w:rPr>
      </w:pPr>
      <w:r w:rsidRPr="00354901">
        <w:rPr>
          <w:sz w:val="20"/>
          <w:szCs w:val="20"/>
        </w:rPr>
        <w:t>The governing body is committed to safeguarding and promoting the welfare of children and young people and expects all staff and volunteers to share this commitment.</w:t>
      </w:r>
    </w:p>
    <w:p w:rsidR="00354901" w:rsidRDefault="00354901" w:rsidP="00354901">
      <w:pPr>
        <w:rPr>
          <w:sz w:val="20"/>
          <w:szCs w:val="20"/>
        </w:rPr>
      </w:pPr>
    </w:p>
    <w:p w:rsidR="00354901" w:rsidRPr="00354901" w:rsidRDefault="00354901" w:rsidP="00354901">
      <w:pPr>
        <w:rPr>
          <w:sz w:val="20"/>
          <w:szCs w:val="20"/>
        </w:rPr>
      </w:pPr>
      <w:bookmarkStart w:id="0" w:name="_GoBack"/>
      <w:bookmarkEnd w:id="0"/>
      <w:r w:rsidRPr="00354901">
        <w:rPr>
          <w:sz w:val="20"/>
          <w:szCs w:val="20"/>
        </w:rPr>
        <w:t>September 2017</w:t>
      </w:r>
    </w:p>
    <w:p w:rsidR="00FA02B4" w:rsidRPr="00354901" w:rsidRDefault="00FA02B4">
      <w:pPr>
        <w:rPr>
          <w:sz w:val="20"/>
          <w:szCs w:val="20"/>
        </w:rPr>
      </w:pPr>
    </w:p>
    <w:sectPr w:rsidR="00FA02B4" w:rsidRPr="00354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3786"/>
    <w:multiLevelType w:val="hybridMultilevel"/>
    <w:tmpl w:val="B60A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85611"/>
    <w:multiLevelType w:val="hybridMultilevel"/>
    <w:tmpl w:val="2DBA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7B29DE"/>
    <w:multiLevelType w:val="hybridMultilevel"/>
    <w:tmpl w:val="EA22DA3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01"/>
    <w:rsid w:val="00354901"/>
    <w:rsid w:val="00FA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0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4901"/>
    <w:rPr>
      <w:b/>
      <w:bCs/>
      <w:lang w:eastAsia="en-US"/>
    </w:rPr>
  </w:style>
  <w:style w:type="character" w:customStyle="1" w:styleId="BodyTextChar">
    <w:name w:val="Body Text Char"/>
    <w:basedOn w:val="DefaultParagraphFont"/>
    <w:link w:val="BodyText"/>
    <w:rsid w:val="00354901"/>
    <w:rPr>
      <w:rFonts w:ascii="Arial" w:eastAsia="Times New Roman" w:hAnsi="Arial" w:cs="Arial"/>
      <w:b/>
      <w:bCs/>
      <w:sz w:val="24"/>
      <w:szCs w:val="24"/>
    </w:rPr>
  </w:style>
  <w:style w:type="paragraph" w:styleId="Header">
    <w:name w:val="header"/>
    <w:basedOn w:val="Normal"/>
    <w:link w:val="HeaderChar"/>
    <w:rsid w:val="00354901"/>
    <w:pPr>
      <w:tabs>
        <w:tab w:val="center" w:pos="4320"/>
        <w:tab w:val="right" w:pos="8640"/>
      </w:tabs>
    </w:pPr>
    <w:rPr>
      <w:rFonts w:ascii="Times New Roman" w:hAnsi="Times New Roman" w:cs="Times New Roman"/>
      <w:lang w:val="en-US" w:eastAsia="en-US"/>
    </w:rPr>
  </w:style>
  <w:style w:type="character" w:customStyle="1" w:styleId="HeaderChar">
    <w:name w:val="Header Char"/>
    <w:basedOn w:val="DefaultParagraphFont"/>
    <w:link w:val="Header"/>
    <w:rsid w:val="0035490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0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4901"/>
    <w:rPr>
      <w:b/>
      <w:bCs/>
      <w:lang w:eastAsia="en-US"/>
    </w:rPr>
  </w:style>
  <w:style w:type="character" w:customStyle="1" w:styleId="BodyTextChar">
    <w:name w:val="Body Text Char"/>
    <w:basedOn w:val="DefaultParagraphFont"/>
    <w:link w:val="BodyText"/>
    <w:rsid w:val="00354901"/>
    <w:rPr>
      <w:rFonts w:ascii="Arial" w:eastAsia="Times New Roman" w:hAnsi="Arial" w:cs="Arial"/>
      <w:b/>
      <w:bCs/>
      <w:sz w:val="24"/>
      <w:szCs w:val="24"/>
    </w:rPr>
  </w:style>
  <w:style w:type="paragraph" w:styleId="Header">
    <w:name w:val="header"/>
    <w:basedOn w:val="Normal"/>
    <w:link w:val="HeaderChar"/>
    <w:rsid w:val="00354901"/>
    <w:pPr>
      <w:tabs>
        <w:tab w:val="center" w:pos="4320"/>
        <w:tab w:val="right" w:pos="8640"/>
      </w:tabs>
    </w:pPr>
    <w:rPr>
      <w:rFonts w:ascii="Times New Roman" w:hAnsi="Times New Roman" w:cs="Times New Roman"/>
      <w:lang w:val="en-US" w:eastAsia="en-US"/>
    </w:rPr>
  </w:style>
  <w:style w:type="character" w:customStyle="1" w:styleId="HeaderChar">
    <w:name w:val="Header Char"/>
    <w:basedOn w:val="DefaultParagraphFont"/>
    <w:link w:val="Header"/>
    <w:rsid w:val="0035490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Adams</dc:creator>
  <cp:lastModifiedBy>Kevin Adams</cp:lastModifiedBy>
  <cp:revision>2</cp:revision>
  <dcterms:created xsi:type="dcterms:W3CDTF">2017-09-11T14:31:00Z</dcterms:created>
  <dcterms:modified xsi:type="dcterms:W3CDTF">2017-09-11T14:31:00Z</dcterms:modified>
</cp:coreProperties>
</file>