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6.141732283464449" w:right="6.141732283464876" w:firstLine="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JOB DESCRIPTION</w:t>
      </w:r>
      <w:r w:rsidDel="00000000" w:rsidR="00000000" w:rsidRPr="00000000">
        <w:rPr>
          <w:rtl w:val="0"/>
        </w:rPr>
      </w:r>
    </w:p>
    <w:p w:rsidR="00000000" w:rsidDel="00000000" w:rsidP="00000000" w:rsidRDefault="00000000" w:rsidRPr="00000000">
      <w:pPr>
        <w:pBdr/>
        <w:ind w:left="-426" w:right="-1425"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2"/>
        <w:pBdr/>
        <w:ind w:left="2154" w:right="46" w:hanging="2012.8582677165355"/>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w:t>
        <w:tab/>
        <w:t xml:space="preserve">Personal Assistant to the Deputy Principal (term time </w:t>
      </w:r>
      <w:r w:rsidDel="00000000" w:rsidR="00000000" w:rsidRPr="00000000">
        <w:rPr>
          <w:rFonts w:ascii="Arial" w:cs="Arial" w:eastAsia="Arial" w:hAnsi="Arial"/>
          <w:sz w:val="22"/>
          <w:szCs w:val="22"/>
          <w:rtl w:val="0"/>
        </w:rPr>
        <w:t xml:space="preserve">only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pStyle w:val="Heading2"/>
        <w:pBdr/>
        <w:ind w:left="2121.1417322834645" w:right="46" w:firstLine="0"/>
        <w:contextualSpacing w:val="0"/>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sz w:val="22"/>
          <w:szCs w:val="22"/>
          <w:rtl w:val="0"/>
        </w:rPr>
        <w:t xml:space="preserve">Maternity cover commencing 28th August 28th until May 2018)</w:t>
      </w:r>
    </w:p>
    <w:p w:rsidR="00000000" w:rsidDel="00000000" w:rsidP="00000000" w:rsidRDefault="00000000" w:rsidRPr="00000000">
      <w:pPr>
        <w:pBdr/>
        <w:ind w:right="46" w:firstLine="141.14173228346445"/>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2154" w:right="46" w:hanging="2012.8582677165355"/>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Responsible to:</w:t>
      </w:r>
      <w:r w:rsidDel="00000000" w:rsidR="00000000" w:rsidRPr="00000000">
        <w:rPr>
          <w:rFonts w:ascii="Arial" w:cs="Arial" w:eastAsia="Arial" w:hAnsi="Arial"/>
          <w:sz w:val="22"/>
          <w:szCs w:val="22"/>
          <w:vertAlign w:val="baseline"/>
          <w:rtl w:val="0"/>
        </w:rPr>
        <w:tab/>
        <w:t xml:space="preserve">Deputy Principal and Assistant Principal – Academic </w:t>
      </w:r>
      <w:r w:rsidDel="00000000" w:rsidR="00000000" w:rsidRPr="00000000">
        <w:rPr>
          <w:rtl w:val="0"/>
        </w:rPr>
      </w:r>
    </w:p>
    <w:p w:rsidR="00000000" w:rsidDel="00000000" w:rsidP="00000000" w:rsidRDefault="00000000" w:rsidRPr="00000000">
      <w:pPr>
        <w:pBdr/>
        <w:ind w:left="-426" w:right="46" w:firstLine="567.14173228346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2154" w:right="46" w:hanging="2012.8582677165355"/>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r>
      <w:r w:rsidDel="00000000" w:rsidR="00000000" w:rsidRPr="00000000">
        <w:rPr>
          <w:rFonts w:ascii="Arial" w:cs="Arial" w:eastAsia="Arial" w:hAnsi="Arial"/>
          <w:sz w:val="22"/>
          <w:szCs w:val="22"/>
          <w:vertAlign w:val="baseline"/>
          <w:rtl w:val="0"/>
        </w:rPr>
        <w:tab/>
        <w:t xml:space="preserve">PA to Principal, PA to Vice Principal and </w:t>
      </w:r>
      <w:r w:rsidDel="00000000" w:rsidR="00000000" w:rsidRPr="00000000">
        <w:rPr>
          <w:rFonts w:ascii="Arial" w:cs="Arial" w:eastAsia="Arial" w:hAnsi="Arial"/>
          <w:sz w:val="22"/>
          <w:szCs w:val="22"/>
          <w:rtl w:val="0"/>
        </w:rPr>
        <w:t xml:space="preserve">Assistant Principal - Vocational</w:t>
      </w:r>
    </w:p>
    <w:p w:rsidR="00000000" w:rsidDel="00000000" w:rsidP="00000000" w:rsidRDefault="00000000" w:rsidRPr="00000000">
      <w:pPr>
        <w:pBdr/>
        <w:ind w:left="-426" w:right="-1425" w:firstLine="567.14173228346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2694"/>
        </w:tabs>
        <w:ind w:left="-426" w:right="-96" w:firstLine="567.1417322834644"/>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Summary of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sz w:val="22"/>
          <w:szCs w:val="22"/>
          <w:vertAlign w:val="baseline"/>
          <w:rtl w:val="0"/>
        </w:rPr>
        <w:t xml:space="preserve">esponsibilities:</w:t>
      </w: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pBdr/>
        <w:tabs>
          <w:tab w:val="left" w:pos="2694"/>
        </w:tabs>
        <w:ind w:left="-426" w:right="-96" w:firstLine="567.14173228346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2694"/>
        </w:tabs>
        <w:ind w:left="141.14173228346445" w:right="-96" w:firstLine="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purpose of this post is to provide personal administrative assistance and secretarial services to both the Deputy Principal and the Assistant Principal - Academic. </w:t>
      </w:r>
      <w:r w:rsidDel="00000000" w:rsidR="00000000" w:rsidRPr="00000000">
        <w:rPr>
          <w:rtl w:val="0"/>
        </w:rPr>
      </w:r>
    </w:p>
    <w:p w:rsidR="00000000" w:rsidDel="00000000" w:rsidP="00000000" w:rsidRDefault="00000000" w:rsidRPr="00000000">
      <w:pPr>
        <w:pBdr/>
        <w:ind w:right="-96" w:firstLine="141.14173228346445"/>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426" w:right="-96" w:firstLine="567.1417322834644"/>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22"/>
          <w:szCs w:val="22"/>
          <w:rtl w:val="0"/>
        </w:rPr>
        <w:t xml:space="preserve">rincipal duties</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provide an administrative service to the allocated Senior Leadership Team (SLT) members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To maintain the diaries of the allocated SLT members, assisting with the management of their time and daily schedules, ensuring the most effective use of their time</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sz w:val="22"/>
          <w:szCs w:val="22"/>
          <w:rtl w:val="0"/>
        </w:rPr>
        <w:t xml:space="preserve"> ensuring that the allocated SLT members respond to all matters by the due date</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perform reception duties for the allocated SLT members in relation to people, phone and mail, handling all initial enquiries and dealing with correspondence not requiring their direct involvement</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retain confidentiality at all times and to ensure that confidential matters are dealt with and stored appropriately</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attend continuing professional development, as required, including to develop information technology skills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update data in key databases required by the allocated members of SLT </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perform the duties of secretary to all formal meetings chaired/led by the allocated SLT members, liaising on agenda preparation, writing minutes and monitoring follow-up action where appropriate</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administer the collation and publication of the self-assessment report (SAR)</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maintain up-to-date performance management records for the Deputy Principal and Assistant Principal – Academic</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support the administration and maintenance of the college master calendar in liaison with the PA team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administer Committee Room bookings in liaison with the PA team</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To organise record management, retrieval and searching websites to retrieve information required by the allocated SLT members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To organise and schedule travel arrangements for the allocated SLT members to any meetings external to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To promote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vertAlign w:val="baseline"/>
          <w:rtl w:val="0"/>
        </w:rPr>
        <w:t xml:space="preserve">quality and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iversity and the core values of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b</w:t>
      </w:r>
      <w:r w:rsidDel="00000000" w:rsidR="00000000" w:rsidRPr="00000000">
        <w:rPr>
          <w:rFonts w:ascii="Arial" w:cs="Arial" w:eastAsia="Arial" w:hAnsi="Arial"/>
          <w:sz w:val="22"/>
          <w:szCs w:val="22"/>
          <w:vertAlign w:val="baseline"/>
          <w:rtl w:val="0"/>
        </w:rPr>
        <w:t xml:space="preserve">e responsible for safeguarding and promoting the welfare of children, young people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vulnerable adults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w:t>
      </w:r>
      <w:r w:rsidDel="00000000" w:rsidR="00000000" w:rsidRPr="00000000">
        <w:rPr>
          <w:rFonts w:ascii="Arial" w:cs="Arial" w:eastAsia="Arial" w:hAnsi="Arial"/>
          <w:sz w:val="22"/>
          <w:szCs w:val="22"/>
          <w:vertAlign w:val="baseline"/>
          <w:rtl w:val="0"/>
        </w:rPr>
        <w:t xml:space="preserve">dhere to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policies and procedures, including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ata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rotection</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Any other duties commensurate with the grade of the post that may be required by the college</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426" w:right="-1425" w:firstLine="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Terms and Conditions</w:t>
      </w:r>
      <w:r w:rsidDel="00000000" w:rsidR="00000000" w:rsidRPr="00000000">
        <w:rPr>
          <w:rtl w:val="0"/>
        </w:rPr>
      </w:r>
    </w:p>
    <w:p w:rsidR="00000000" w:rsidDel="00000000" w:rsidP="00000000" w:rsidRDefault="00000000" w:rsidRPr="00000000">
      <w:pPr>
        <w:pBdr/>
        <w:ind w:left="-426" w:right="-1425"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386.9999999999998" w:right="-1361.9999999999993" w:firstLine="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Summary of Main Terms and Conditions</w:t>
      </w:r>
      <w:r w:rsidDel="00000000" w:rsidR="00000000" w:rsidRPr="00000000">
        <w:rPr>
          <w:rtl w:val="0"/>
        </w:rPr>
      </w:r>
    </w:p>
    <w:tbl>
      <w:tblPr>
        <w:tblStyle w:val="Table1"/>
        <w:bidiVisual w:val="0"/>
        <w:tblW w:w="9810.0" w:type="dxa"/>
        <w:jc w:val="center"/>
        <w:tblInd w:w="-105.0" w:type="dxa"/>
        <w:tblLayout w:type="fixed"/>
        <w:tblLook w:val="0000"/>
      </w:tblPr>
      <w:tblGrid>
        <w:gridCol w:w="2190"/>
        <w:gridCol w:w="7620"/>
        <w:tblGridChange w:id="0">
          <w:tblGrid>
            <w:gridCol w:w="2190"/>
            <w:gridCol w:w="7620"/>
          </w:tblGrid>
        </w:tblGridChange>
      </w:tblGrid>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ind w:left="18.000000000000682" w:right="-1425"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Points 21-25 of Sixth Form College's’ Support Staff Pay Spine</w:t>
            </w:r>
          </w:p>
          <w:p w:rsidR="00000000" w:rsidDel="00000000" w:rsidP="00000000" w:rsidRDefault="00000000" w:rsidRPr="00000000">
            <w:pPr>
              <w:pBdr/>
              <w:ind w:left="18.000000000000682" w:right="-1425"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Currently £15,426 - £17,411 per annum for a term time only post (Full </w:t>
            </w:r>
          </w:p>
          <w:p w:rsidR="00000000" w:rsidDel="00000000" w:rsidP="00000000" w:rsidRDefault="00000000" w:rsidRPr="00000000">
            <w:pPr>
              <w:pBdr/>
              <w:ind w:left="18.000000000000682" w:right="-1425"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time equivalent £17,946 - £20,255 per annum)</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Working hours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Will require attendance at college 36.25 hours per week, term time only (normally 8.30 am to 4.30 pm). Some flexibility in the hours worked will be expected, this could occasionally include some work in evenings and at weekends.</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Pension Scheme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Local Government Pension Scheme.</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Payments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 </w:t>
            </w:r>
          </w:p>
        </w:tc>
      </w:tr>
      <w:tr>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Reviews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have a review every 4 months to assess your progress and set targets.</w:t>
            </w:r>
          </w:p>
        </w:tc>
      </w:tr>
    </w:tbl>
    <w:p w:rsidR="00000000" w:rsidDel="00000000" w:rsidP="00000000" w:rsidRDefault="00000000" w:rsidRPr="00000000">
      <w:pPr>
        <w:pBdr/>
        <w:tabs>
          <w:tab w:val="left" w:pos="284"/>
        </w:tabs>
        <w:ind w:left="-426" w:right="-96"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pBdr/>
        <w:tabs>
          <w:tab w:val="left" w:pos="284"/>
        </w:tabs>
        <w:ind w:left="-426" w:right="-96"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Job Description is current at the date shown and may be amended from time to time after consultation.</w:t>
      </w:r>
    </w:p>
    <w:p w:rsidR="00000000" w:rsidDel="00000000" w:rsidP="00000000" w:rsidRDefault="00000000" w:rsidRPr="00000000">
      <w:pPr>
        <w:pBdr/>
        <w:ind w:left="-426" w:right="-96"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ind w:left="-426" w:right="-96" w:firstLine="0"/>
        <w:contextualSpacing w:val="0"/>
        <w:jc w:val="left"/>
        <w:rPr/>
      </w:pPr>
      <w:r w:rsidDel="00000000" w:rsidR="00000000" w:rsidRPr="00000000">
        <w:rPr>
          <w:rtl w:val="0"/>
        </w:rPr>
      </w:r>
    </w:p>
    <w:sectPr>
      <w:headerReference r:id="rId5" w:type="default"/>
      <w:footerReference r:id="rId6" w:type="default"/>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720" w:before="0" w:line="240" w:lineRule="auto"/>
      <w:ind w:left="2160" w:hanging="2160"/>
      <w:contextualSpacing w:val="0"/>
      <w:rPr/>
    </w:pPr>
    <w:r w:rsidDel="00000000" w:rsidR="00000000" w:rsidRPr="00000000">
      <w:rPr>
        <w:rFonts w:ascii="Helvetica Neue" w:cs="Helvetica Neue" w:eastAsia="Helvetica Neue" w:hAnsi="Helvetica Neue"/>
        <w:b w:val="0"/>
        <w:sz w:val="20"/>
        <w:szCs w:val="20"/>
        <w:vertAlign w:val="baseline"/>
        <w:rtl w:val="0"/>
      </w:rPr>
      <w:t xml:space="preserve">JD PA to DP and AP</w:t>
      <w:tab/>
      <w:tab/>
      <w:tab/>
    </w:r>
    <w:r w:rsidDel="00000000" w:rsidR="00000000" w:rsidRPr="00000000">
      <w:rPr>
        <w:rFonts w:ascii="Helvetica Neue" w:cs="Helvetica Neue" w:eastAsia="Helvetica Neue" w:hAnsi="Helvetica Neue"/>
        <w:sz w:val="20"/>
        <w:szCs w:val="20"/>
        <w:rtl w:val="0"/>
      </w:rPr>
      <w:t xml:space="preserve">May 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drawing>
        <wp:inline distB="114300" distT="114300" distL="114300" distR="114300">
          <wp:extent cx="631786" cy="490538"/>
          <wp:effectExtent b="0" l="0" r="0" t="0"/>
          <wp:docPr descr="Blackpool Sixth Logo White Background (RGB Colour).png" id="1" name="image2.png"/>
          <a:graphic>
            <a:graphicData uri="http://schemas.openxmlformats.org/drawingml/2006/picture">
              <pic:pic>
                <pic:nvPicPr>
                  <pic:cNvPr descr="Blackpool Sixth Logo White Background (RGB Colour).png" id="0" name="image2.png"/>
                  <pic:cNvPicPr preferRelativeResize="0"/>
                </pic:nvPicPr>
                <pic:blipFill>
                  <a:blip r:embed="rId1"/>
                  <a:srcRect b="0" l="0" r="0" t="0"/>
                  <a:stretch>
                    <a:fillRect/>
                  </a:stretch>
                </pic:blipFill>
                <pic:spPr>
                  <a:xfrm>
                    <a:off x="0" y="0"/>
                    <a:ext cx="631786" cy="490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pBdr/>
      <w:spacing w:after="0" w:before="0" w:line="240" w:lineRule="auto"/>
      <w:ind w:left="-426" w:right="-1425"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1"/>
      <w:widowControl w:val="1"/>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15.0" w:type="dxa"/>
        <w:left w:w="15.0" w:type="dxa"/>
        <w:bottom w:w="15.0" w:type="dxa"/>
        <w:right w:w="15.0" w:type="dxa"/>
      </w:tblCellMar>
    </w:tblPr>
    <w:tblStylePr w:type="band1Horz">
      <w:pPr>
        <w:pBdr/>
        <w:contextualSpacing w:val="1"/>
      </w:pPr>
      <w:rPr/>
      <w:tcPr/>
    </w:tblStylePr>
    <w:tblStylePr w:type="band1Vert">
      <w:pPr>
        <w:pBdr/>
        <w:contextualSpacing w:val="1"/>
      </w:pPr>
      <w:rPr/>
      <w:tcPr/>
    </w:tblStylePr>
    <w:tblStylePr w:type="band2Horz">
      <w:pPr>
        <w:pBdr/>
        <w:contextualSpacing w:val="1"/>
      </w:pPr>
      <w:rPr/>
      <w:tcPr/>
    </w:tblStylePr>
    <w:tblStylePr w:type="band2Vert">
      <w:pPr>
        <w:pBdr/>
        <w:contextualSpacing w:val="1"/>
      </w:pPr>
      <w:rPr/>
      <w:tcPr/>
    </w:tblStylePr>
    <w:tblStylePr w:type="firstCol">
      <w:pPr>
        <w:pBdr/>
        <w:contextualSpacing w:val="1"/>
      </w:pPr>
      <w:rPr/>
      <w:tcPr/>
    </w:tblStylePr>
    <w:tblStylePr w:type="firstRow">
      <w:pPr>
        <w:pBdr/>
        <w:contextualSpacing w:val="1"/>
      </w:pPr>
      <w:rPr/>
      <w:tcPr/>
    </w:tblStylePr>
    <w:tblStylePr w:type="lastCol">
      <w:pPr>
        <w:pBdr/>
        <w:contextualSpacing w:val="1"/>
      </w:pPr>
      <w:rPr/>
      <w:tcPr/>
    </w:tblStylePr>
    <w:tblStylePr w:type="lastRow">
      <w:pPr>
        <w:pBdr/>
        <w:contextualSpacing w:val="1"/>
      </w:pPr>
      <w:rPr/>
      <w:tcPr/>
    </w:tblStylePr>
    <w:tblStylePr w:type="neCell">
      <w:pPr>
        <w:pBdr/>
        <w:contextualSpacing w:val="1"/>
      </w:pPr>
      <w:rPr/>
      <w:tcPr/>
    </w:tblStylePr>
    <w:tblStylePr w:type="nwCell">
      <w:pPr>
        <w:pBdr/>
        <w:contextualSpacing w:val="1"/>
      </w:pPr>
      <w:rPr/>
      <w:tcPr/>
    </w:tblStylePr>
    <w:tblStylePr w:type="seCell">
      <w:pPr>
        <w:pBdr/>
        <w:contextualSpacing w:val="1"/>
      </w:pPr>
      <w:rPr/>
      <w:tcPr/>
    </w:tblStylePr>
    <w:tblStylePr w:type="swCell">
      <w:pPr>
        <w:pBdr/>
        <w:contextualSpacing w:val="1"/>
      </w:pPr>
      <w:rP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