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0DB" w:rsidRPr="008220DB" w:rsidRDefault="008220DB" w:rsidP="00CE51BE">
      <w:pPr>
        <w:pStyle w:val="Default"/>
        <w:jc w:val="center"/>
        <w:rPr>
          <w:b/>
          <w:bCs/>
        </w:rPr>
      </w:pPr>
    </w:p>
    <w:p w:rsidR="00BC601C" w:rsidRPr="00797456" w:rsidRDefault="00CE51BE" w:rsidP="00797456">
      <w:pPr>
        <w:pStyle w:val="Default"/>
        <w:jc w:val="center"/>
        <w:rPr>
          <w:b/>
          <w:bCs/>
          <w:sz w:val="28"/>
          <w:szCs w:val="28"/>
        </w:rPr>
      </w:pPr>
      <w:r>
        <w:rPr>
          <w:b/>
          <w:bCs/>
          <w:sz w:val="28"/>
          <w:szCs w:val="28"/>
        </w:rPr>
        <w:t>SUMMARY OF MAIN TERMS AND CONDITIONS</w:t>
      </w:r>
      <w:r w:rsidR="00746ACA">
        <w:rPr>
          <w:b/>
          <w:bCs/>
          <w:sz w:val="28"/>
          <w:szCs w:val="28"/>
        </w:rPr>
        <w:t xml:space="preserve"> OF SERVICE</w:t>
      </w:r>
    </w:p>
    <w:p w:rsidR="00CE51BE" w:rsidRPr="00CD36E7" w:rsidRDefault="00BC601C" w:rsidP="002F4616">
      <w:pPr>
        <w:pStyle w:val="Default"/>
        <w:jc w:val="center"/>
        <w:rPr>
          <w:sz w:val="20"/>
          <w:szCs w:val="20"/>
        </w:rPr>
      </w:pPr>
      <w:r>
        <w:rPr>
          <w:b/>
          <w:bCs/>
          <w:sz w:val="28"/>
          <w:szCs w:val="28"/>
        </w:rPr>
        <w:t>TEACHER</w:t>
      </w:r>
      <w:r w:rsidR="009A4403">
        <w:rPr>
          <w:b/>
          <w:bCs/>
          <w:sz w:val="28"/>
          <w:szCs w:val="28"/>
        </w:rPr>
        <w:t xml:space="preserve"> </w:t>
      </w:r>
      <w:r w:rsidR="0005360C">
        <w:rPr>
          <w:b/>
          <w:bCs/>
          <w:sz w:val="28"/>
          <w:szCs w:val="28"/>
        </w:rPr>
        <w:t xml:space="preserve">RE </w:t>
      </w:r>
      <w:bookmarkStart w:id="0" w:name="_GoBack"/>
      <w:bookmarkEnd w:id="0"/>
    </w:p>
    <w:tbl>
      <w:tblPr>
        <w:tblW w:w="9214"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828"/>
        <w:gridCol w:w="5386"/>
      </w:tblGrid>
      <w:tr w:rsidR="00CE51BE" w:rsidRPr="00DC2338" w:rsidTr="0094613C">
        <w:trPr>
          <w:trHeight w:val="379"/>
        </w:trPr>
        <w:tc>
          <w:tcPr>
            <w:tcW w:w="3828" w:type="dxa"/>
          </w:tcPr>
          <w:p w:rsidR="00CE51BE" w:rsidRPr="00BC601C" w:rsidRDefault="00CE51BE">
            <w:pPr>
              <w:pStyle w:val="Default"/>
              <w:rPr>
                <w:b/>
                <w:bCs/>
                <w:sz w:val="22"/>
                <w:szCs w:val="22"/>
              </w:rPr>
            </w:pPr>
            <w:r w:rsidRPr="00BC601C">
              <w:rPr>
                <w:b/>
                <w:bCs/>
                <w:sz w:val="22"/>
                <w:szCs w:val="22"/>
              </w:rPr>
              <w:t>Start Date</w:t>
            </w:r>
          </w:p>
        </w:tc>
        <w:tc>
          <w:tcPr>
            <w:tcW w:w="5386" w:type="dxa"/>
          </w:tcPr>
          <w:p w:rsidR="00BC601C" w:rsidRDefault="003C56EE" w:rsidP="003C56EE">
            <w:pPr>
              <w:pStyle w:val="Default"/>
              <w:rPr>
                <w:sz w:val="22"/>
                <w:szCs w:val="22"/>
              </w:rPr>
            </w:pPr>
            <w:r>
              <w:rPr>
                <w:sz w:val="22"/>
                <w:szCs w:val="22"/>
              </w:rPr>
              <w:t>Tuesday 28</w:t>
            </w:r>
            <w:r w:rsidRPr="003C56EE">
              <w:rPr>
                <w:sz w:val="22"/>
                <w:szCs w:val="22"/>
                <w:vertAlign w:val="superscript"/>
              </w:rPr>
              <w:t>th</w:t>
            </w:r>
            <w:r>
              <w:rPr>
                <w:sz w:val="22"/>
                <w:szCs w:val="22"/>
              </w:rPr>
              <w:t xml:space="preserve"> August 2018 </w:t>
            </w:r>
          </w:p>
          <w:p w:rsidR="0088577B" w:rsidRPr="00BC601C" w:rsidRDefault="0088577B" w:rsidP="003C56EE">
            <w:pPr>
              <w:pStyle w:val="Default"/>
              <w:rPr>
                <w:sz w:val="22"/>
                <w:szCs w:val="22"/>
              </w:rPr>
            </w:pPr>
          </w:p>
        </w:tc>
      </w:tr>
      <w:tr w:rsidR="00CD36E7" w:rsidRPr="00DC2338" w:rsidTr="0094613C">
        <w:trPr>
          <w:trHeight w:val="379"/>
        </w:trPr>
        <w:tc>
          <w:tcPr>
            <w:tcW w:w="3828" w:type="dxa"/>
          </w:tcPr>
          <w:p w:rsidR="00CD36E7" w:rsidRPr="00BC601C" w:rsidRDefault="00CD36E7" w:rsidP="00CD36E7">
            <w:pPr>
              <w:pStyle w:val="Default"/>
              <w:rPr>
                <w:b/>
                <w:bCs/>
                <w:sz w:val="22"/>
                <w:szCs w:val="22"/>
              </w:rPr>
            </w:pPr>
          </w:p>
          <w:p w:rsidR="00CD36E7" w:rsidRPr="00BC601C" w:rsidRDefault="00CD36E7" w:rsidP="00CD36E7">
            <w:pPr>
              <w:pStyle w:val="Default"/>
              <w:rPr>
                <w:b/>
                <w:bCs/>
                <w:sz w:val="22"/>
                <w:szCs w:val="22"/>
              </w:rPr>
            </w:pPr>
            <w:r w:rsidRPr="00BC601C">
              <w:rPr>
                <w:b/>
                <w:bCs/>
                <w:sz w:val="22"/>
                <w:szCs w:val="22"/>
              </w:rPr>
              <w:t>Closing date</w:t>
            </w:r>
          </w:p>
        </w:tc>
        <w:tc>
          <w:tcPr>
            <w:tcW w:w="5386" w:type="dxa"/>
            <w:vAlign w:val="bottom"/>
          </w:tcPr>
          <w:p w:rsidR="00CD36E7" w:rsidRDefault="00CD36E7" w:rsidP="00487423">
            <w:pPr>
              <w:pStyle w:val="NoSpacing"/>
            </w:pPr>
            <w:r w:rsidRPr="00BC601C">
              <w:t xml:space="preserve">Closing date for receipt of applications is </w:t>
            </w:r>
            <w:r w:rsidR="008324A7">
              <w:t xml:space="preserve">10.00am </w:t>
            </w:r>
            <w:r w:rsidR="00860C72">
              <w:t xml:space="preserve">Friday </w:t>
            </w:r>
            <w:r w:rsidR="00860C72" w:rsidRPr="00860C72">
              <w:t>1</w:t>
            </w:r>
            <w:r w:rsidR="00487423">
              <w:t>8</w:t>
            </w:r>
            <w:r w:rsidR="00860C72" w:rsidRPr="00860C72">
              <w:t xml:space="preserve">th </w:t>
            </w:r>
            <w:r w:rsidR="00487423">
              <w:t xml:space="preserve">May </w:t>
            </w:r>
            <w:r w:rsidR="003C56EE" w:rsidRPr="00860C72">
              <w:t xml:space="preserve">2018. </w:t>
            </w:r>
            <w:r w:rsidRPr="00860C72">
              <w:t xml:space="preserve">  We</w:t>
            </w:r>
            <w:r w:rsidRPr="00BC601C">
              <w:t xml:space="preserve"> will not be able to accept applications after this date, except in exceptional circumstances.</w:t>
            </w:r>
          </w:p>
          <w:p w:rsidR="002F4616" w:rsidRPr="00BC601C" w:rsidRDefault="002F4616" w:rsidP="00487423">
            <w:pPr>
              <w:pStyle w:val="NoSpacing"/>
            </w:pPr>
          </w:p>
        </w:tc>
      </w:tr>
      <w:tr w:rsidR="00CE51BE" w:rsidRPr="00DC2338" w:rsidTr="0094613C">
        <w:trPr>
          <w:trHeight w:val="379"/>
        </w:trPr>
        <w:tc>
          <w:tcPr>
            <w:tcW w:w="3828" w:type="dxa"/>
          </w:tcPr>
          <w:p w:rsidR="00CE51BE" w:rsidRPr="00BC601C" w:rsidRDefault="00CE51BE">
            <w:pPr>
              <w:pStyle w:val="Default"/>
              <w:rPr>
                <w:b/>
                <w:bCs/>
                <w:sz w:val="22"/>
                <w:szCs w:val="22"/>
              </w:rPr>
            </w:pPr>
          </w:p>
          <w:p w:rsidR="00CE51BE" w:rsidRPr="00BC601C" w:rsidRDefault="00CE51BE">
            <w:pPr>
              <w:pStyle w:val="Default"/>
              <w:rPr>
                <w:sz w:val="22"/>
                <w:szCs w:val="22"/>
              </w:rPr>
            </w:pPr>
            <w:r w:rsidRPr="00BC601C">
              <w:rPr>
                <w:b/>
                <w:bCs/>
                <w:sz w:val="22"/>
                <w:szCs w:val="22"/>
              </w:rPr>
              <w:t xml:space="preserve">Salary </w:t>
            </w:r>
          </w:p>
        </w:tc>
        <w:tc>
          <w:tcPr>
            <w:tcW w:w="5386" w:type="dxa"/>
          </w:tcPr>
          <w:p w:rsidR="00CE51BE" w:rsidRDefault="003F0B9C" w:rsidP="00841A37">
            <w:pPr>
              <w:pStyle w:val="NoSpacing"/>
            </w:pPr>
            <w:r w:rsidRPr="0094613C">
              <w:t>Salary is</w:t>
            </w:r>
            <w:r w:rsidR="002B7C3C" w:rsidRPr="0094613C">
              <w:t xml:space="preserve"> </w:t>
            </w:r>
            <w:r w:rsidR="00BC601C" w:rsidRPr="0094613C">
              <w:t xml:space="preserve">based on Sixth Form Colleges’ Association Teachers’ pay spine from Points 1-9 </w:t>
            </w:r>
            <w:r w:rsidR="00BC601C" w:rsidRPr="003C56EE">
              <w:t>(£2</w:t>
            </w:r>
            <w:r w:rsidR="00841A37" w:rsidRPr="003C56EE">
              <w:t>3</w:t>
            </w:r>
            <w:r w:rsidR="00BC601C" w:rsidRPr="003C56EE">
              <w:t>,</w:t>
            </w:r>
            <w:r w:rsidR="00841A37" w:rsidRPr="003C56EE">
              <w:t>396</w:t>
            </w:r>
            <w:r w:rsidR="00BC601C" w:rsidRPr="003C56EE">
              <w:t xml:space="preserve"> - £38,</w:t>
            </w:r>
            <w:r w:rsidR="00841A37" w:rsidRPr="003C56EE">
              <w:t>748</w:t>
            </w:r>
            <w:r w:rsidR="00BC601C" w:rsidRPr="003C56EE">
              <w:t>)</w:t>
            </w:r>
            <w:r w:rsidR="009A4403" w:rsidRPr="003C56EE">
              <w:t>,</w:t>
            </w:r>
            <w:r w:rsidR="009A4403">
              <w:t xml:space="preserve"> depending on experience</w:t>
            </w:r>
            <w:r w:rsidR="00BC601C" w:rsidRPr="0094613C">
              <w:t>.</w:t>
            </w:r>
          </w:p>
          <w:p w:rsidR="002F4616" w:rsidRPr="00BC601C" w:rsidRDefault="002F4616" w:rsidP="00841A37">
            <w:pPr>
              <w:pStyle w:val="NoSpacing"/>
              <w:rPr>
                <w:highlight w:val="yellow"/>
              </w:rPr>
            </w:pPr>
          </w:p>
        </w:tc>
      </w:tr>
      <w:tr w:rsidR="0094613C" w:rsidRPr="00DC2338" w:rsidTr="0094613C">
        <w:trPr>
          <w:trHeight w:val="379"/>
        </w:trPr>
        <w:tc>
          <w:tcPr>
            <w:tcW w:w="3828" w:type="dxa"/>
          </w:tcPr>
          <w:p w:rsidR="0094613C" w:rsidRPr="0094613C" w:rsidRDefault="0094613C" w:rsidP="0094613C">
            <w:pPr>
              <w:pStyle w:val="Default"/>
              <w:rPr>
                <w:b/>
                <w:bCs/>
                <w:sz w:val="22"/>
                <w:szCs w:val="22"/>
              </w:rPr>
            </w:pPr>
          </w:p>
          <w:p w:rsidR="0094613C" w:rsidRPr="0094613C" w:rsidRDefault="0094613C" w:rsidP="0094613C">
            <w:pPr>
              <w:pStyle w:val="Default"/>
              <w:rPr>
                <w:b/>
                <w:bCs/>
                <w:sz w:val="22"/>
                <w:szCs w:val="22"/>
              </w:rPr>
            </w:pPr>
            <w:r w:rsidRPr="0094613C">
              <w:rPr>
                <w:b/>
                <w:bCs/>
                <w:sz w:val="22"/>
                <w:szCs w:val="22"/>
              </w:rPr>
              <w:t>Interview date</w:t>
            </w:r>
          </w:p>
        </w:tc>
        <w:tc>
          <w:tcPr>
            <w:tcW w:w="5386" w:type="dxa"/>
            <w:vAlign w:val="bottom"/>
          </w:tcPr>
          <w:p w:rsidR="0094613C" w:rsidRDefault="0094613C" w:rsidP="00487423">
            <w:pPr>
              <w:pStyle w:val="NoSpacing"/>
            </w:pPr>
            <w:r w:rsidRPr="0094613C">
              <w:t>It is anticipated that int</w:t>
            </w:r>
            <w:r w:rsidR="009A4403">
              <w:t xml:space="preserve">erviews will be held </w:t>
            </w:r>
            <w:r w:rsidR="00FB6840">
              <w:t>w/c 1</w:t>
            </w:r>
            <w:r w:rsidR="00487423">
              <w:t>9</w:t>
            </w:r>
            <w:r w:rsidR="003C56EE" w:rsidRPr="00860C72">
              <w:rPr>
                <w:vertAlign w:val="superscript"/>
              </w:rPr>
              <w:t>th</w:t>
            </w:r>
            <w:r w:rsidR="00487423">
              <w:rPr>
                <w:vertAlign w:val="superscript"/>
              </w:rPr>
              <w:t xml:space="preserve"> </w:t>
            </w:r>
            <w:r w:rsidR="00487423">
              <w:t xml:space="preserve">May </w:t>
            </w:r>
            <w:r w:rsidR="00697CC8" w:rsidRPr="00860C72">
              <w:t>201</w:t>
            </w:r>
            <w:r w:rsidR="00487423">
              <w:t>8</w:t>
            </w:r>
            <w:r w:rsidRPr="00860C72">
              <w:t xml:space="preserve"> and candidates will be contacted by</w:t>
            </w:r>
            <w:r w:rsidRPr="0094613C">
              <w:t xml:space="preserve"> telephone/email.  Please therefore ensure information</w:t>
            </w:r>
            <w:r w:rsidR="00FB6840">
              <w:t xml:space="preserve"> is included in your application regarding any </w:t>
            </w:r>
            <w:r w:rsidRPr="0094613C">
              <w:t>dates when you are not available for interview.</w:t>
            </w:r>
          </w:p>
          <w:p w:rsidR="002F4616" w:rsidRPr="0094613C" w:rsidRDefault="002F4616" w:rsidP="00487423">
            <w:pPr>
              <w:pStyle w:val="NoSpacing"/>
            </w:pPr>
          </w:p>
        </w:tc>
      </w:tr>
      <w:tr w:rsidR="00CE51BE" w:rsidRPr="00DC2338" w:rsidTr="0094613C">
        <w:trPr>
          <w:trHeight w:val="379"/>
        </w:trPr>
        <w:tc>
          <w:tcPr>
            <w:tcW w:w="3828" w:type="dxa"/>
          </w:tcPr>
          <w:p w:rsidR="00CE51BE" w:rsidRPr="00BC601C" w:rsidRDefault="00CE51BE">
            <w:pPr>
              <w:pStyle w:val="Default"/>
              <w:rPr>
                <w:b/>
                <w:bCs/>
                <w:sz w:val="22"/>
                <w:szCs w:val="22"/>
              </w:rPr>
            </w:pPr>
          </w:p>
          <w:p w:rsidR="00CE51BE" w:rsidRPr="00BC601C" w:rsidRDefault="00CE51BE">
            <w:pPr>
              <w:pStyle w:val="Default"/>
              <w:rPr>
                <w:sz w:val="22"/>
                <w:szCs w:val="22"/>
              </w:rPr>
            </w:pPr>
            <w:r w:rsidRPr="00BC601C">
              <w:rPr>
                <w:b/>
                <w:bCs/>
                <w:sz w:val="22"/>
                <w:szCs w:val="22"/>
              </w:rPr>
              <w:t xml:space="preserve">Payment </w:t>
            </w:r>
          </w:p>
        </w:tc>
        <w:tc>
          <w:tcPr>
            <w:tcW w:w="5386" w:type="dxa"/>
          </w:tcPr>
          <w:p w:rsidR="00CE51BE" w:rsidRDefault="00CE51BE" w:rsidP="00DC2338">
            <w:pPr>
              <w:pStyle w:val="Default"/>
              <w:rPr>
                <w:sz w:val="22"/>
                <w:szCs w:val="22"/>
              </w:rPr>
            </w:pPr>
            <w:r w:rsidRPr="00BC601C">
              <w:rPr>
                <w:sz w:val="22"/>
                <w:szCs w:val="22"/>
              </w:rPr>
              <w:t>Your salary will be paid by BACs transfer into your bank account on the last banking day of the month, unless notified otherwise</w:t>
            </w:r>
            <w:r w:rsidR="00DC2338" w:rsidRPr="00BC601C">
              <w:rPr>
                <w:sz w:val="22"/>
                <w:szCs w:val="22"/>
              </w:rPr>
              <w:t>.</w:t>
            </w:r>
          </w:p>
          <w:p w:rsidR="002F4616" w:rsidRPr="00BC601C" w:rsidRDefault="002F4616" w:rsidP="00DC2338">
            <w:pPr>
              <w:pStyle w:val="Default"/>
              <w:rPr>
                <w:sz w:val="22"/>
                <w:szCs w:val="22"/>
              </w:rPr>
            </w:pPr>
          </w:p>
        </w:tc>
      </w:tr>
      <w:tr w:rsidR="00CE51BE" w:rsidRPr="00DC2338" w:rsidTr="0094613C">
        <w:trPr>
          <w:trHeight w:val="379"/>
        </w:trPr>
        <w:tc>
          <w:tcPr>
            <w:tcW w:w="3828" w:type="dxa"/>
          </w:tcPr>
          <w:p w:rsidR="00CE51BE" w:rsidRPr="00BC601C" w:rsidRDefault="00CE51BE">
            <w:pPr>
              <w:pStyle w:val="Default"/>
              <w:rPr>
                <w:b/>
                <w:bCs/>
                <w:sz w:val="22"/>
                <w:szCs w:val="22"/>
              </w:rPr>
            </w:pPr>
          </w:p>
          <w:p w:rsidR="00CE51BE" w:rsidRPr="00BC601C" w:rsidRDefault="00CE51BE">
            <w:pPr>
              <w:pStyle w:val="Default"/>
              <w:rPr>
                <w:sz w:val="22"/>
                <w:szCs w:val="22"/>
              </w:rPr>
            </w:pPr>
            <w:r w:rsidRPr="00BC601C">
              <w:rPr>
                <w:b/>
                <w:bCs/>
                <w:sz w:val="22"/>
                <w:szCs w:val="22"/>
              </w:rPr>
              <w:t xml:space="preserve">Pension Scheme </w:t>
            </w:r>
          </w:p>
        </w:tc>
        <w:tc>
          <w:tcPr>
            <w:tcW w:w="5386" w:type="dxa"/>
          </w:tcPr>
          <w:p w:rsidR="00CE51BE" w:rsidRDefault="00BC601C" w:rsidP="00DC2338">
            <w:pPr>
              <w:pStyle w:val="Default"/>
              <w:rPr>
                <w:sz w:val="22"/>
                <w:szCs w:val="22"/>
              </w:rPr>
            </w:pPr>
            <w:r w:rsidRPr="00BC601C">
              <w:rPr>
                <w:sz w:val="22"/>
                <w:szCs w:val="22"/>
              </w:rPr>
              <w:t xml:space="preserve">You will automatically become a member of the Teachers’ Pension Scheme (unless you opt-out). Further details are available at </w:t>
            </w:r>
            <w:hyperlink r:id="rId7" w:history="1">
              <w:r w:rsidRPr="00BC601C">
                <w:rPr>
                  <w:rStyle w:val="Hyperlink"/>
                  <w:sz w:val="22"/>
                  <w:szCs w:val="22"/>
                </w:rPr>
                <w:t>www.teacherspensions.co.uk</w:t>
              </w:r>
            </w:hyperlink>
            <w:r w:rsidRPr="00BC601C">
              <w:rPr>
                <w:sz w:val="22"/>
                <w:szCs w:val="22"/>
              </w:rPr>
              <w:t xml:space="preserve">.  </w:t>
            </w:r>
          </w:p>
          <w:p w:rsidR="002F4616" w:rsidRPr="00BC601C" w:rsidRDefault="002F4616" w:rsidP="00DC2338">
            <w:pPr>
              <w:pStyle w:val="Default"/>
              <w:rPr>
                <w:sz w:val="22"/>
                <w:szCs w:val="22"/>
              </w:rPr>
            </w:pPr>
          </w:p>
        </w:tc>
      </w:tr>
      <w:tr w:rsidR="00CE51BE" w:rsidRPr="00DC2338" w:rsidTr="0094613C">
        <w:trPr>
          <w:trHeight w:val="379"/>
        </w:trPr>
        <w:tc>
          <w:tcPr>
            <w:tcW w:w="3828" w:type="dxa"/>
          </w:tcPr>
          <w:p w:rsidR="00CE51BE" w:rsidRPr="00BC601C" w:rsidRDefault="00CE51BE">
            <w:pPr>
              <w:pStyle w:val="Default"/>
              <w:rPr>
                <w:b/>
                <w:bCs/>
                <w:sz w:val="22"/>
                <w:szCs w:val="22"/>
              </w:rPr>
            </w:pPr>
          </w:p>
          <w:p w:rsidR="00CE51BE" w:rsidRPr="00BC601C" w:rsidRDefault="00CE51BE">
            <w:pPr>
              <w:pStyle w:val="Default"/>
              <w:rPr>
                <w:sz w:val="22"/>
                <w:szCs w:val="22"/>
              </w:rPr>
            </w:pPr>
            <w:r w:rsidRPr="00BC601C">
              <w:rPr>
                <w:b/>
                <w:bCs/>
                <w:sz w:val="22"/>
                <w:szCs w:val="22"/>
              </w:rPr>
              <w:t xml:space="preserve">DBS Clearance and safeguarding checks </w:t>
            </w:r>
          </w:p>
        </w:tc>
        <w:tc>
          <w:tcPr>
            <w:tcW w:w="5386" w:type="dxa"/>
          </w:tcPr>
          <w:p w:rsidR="00CE51BE" w:rsidRDefault="00CE51BE" w:rsidP="00DC2338">
            <w:pPr>
              <w:pStyle w:val="Default"/>
              <w:rPr>
                <w:sz w:val="22"/>
                <w:szCs w:val="22"/>
              </w:rPr>
            </w:pPr>
            <w:r w:rsidRPr="00BC601C">
              <w:rPr>
                <w:sz w:val="22"/>
                <w:szCs w:val="22"/>
              </w:rPr>
              <w:t>This post requires DBS clearance and is subject to Enhanced clearance from the Disclosure and Barring Service as well as a ran</w:t>
            </w:r>
            <w:r w:rsidR="00DC2338" w:rsidRPr="00BC601C">
              <w:rPr>
                <w:sz w:val="22"/>
                <w:szCs w:val="22"/>
              </w:rPr>
              <w:t>ge of other safeguarding checks.</w:t>
            </w:r>
          </w:p>
          <w:p w:rsidR="002F4616" w:rsidRPr="00BC601C" w:rsidRDefault="002F4616" w:rsidP="00DC2338">
            <w:pPr>
              <w:pStyle w:val="Default"/>
              <w:rPr>
                <w:sz w:val="22"/>
                <w:szCs w:val="22"/>
              </w:rPr>
            </w:pPr>
          </w:p>
        </w:tc>
      </w:tr>
      <w:tr w:rsidR="00DC2338" w:rsidRPr="00DC2338" w:rsidTr="0094613C">
        <w:trPr>
          <w:trHeight w:val="379"/>
        </w:trPr>
        <w:tc>
          <w:tcPr>
            <w:tcW w:w="3828" w:type="dxa"/>
          </w:tcPr>
          <w:p w:rsidR="00DC2338" w:rsidRPr="00BC601C" w:rsidRDefault="00DC2338">
            <w:pPr>
              <w:pStyle w:val="Default"/>
              <w:rPr>
                <w:b/>
                <w:bCs/>
                <w:sz w:val="22"/>
                <w:szCs w:val="22"/>
              </w:rPr>
            </w:pPr>
          </w:p>
          <w:p w:rsidR="00DC2338" w:rsidRPr="00BC601C" w:rsidRDefault="00DC2338">
            <w:pPr>
              <w:pStyle w:val="Default"/>
              <w:rPr>
                <w:b/>
                <w:bCs/>
                <w:sz w:val="22"/>
                <w:szCs w:val="22"/>
              </w:rPr>
            </w:pPr>
            <w:r w:rsidRPr="00BC601C">
              <w:rPr>
                <w:b/>
                <w:bCs/>
                <w:sz w:val="22"/>
                <w:szCs w:val="22"/>
              </w:rPr>
              <w:t>Rehabilitation of Offenders Act 1974</w:t>
            </w:r>
          </w:p>
        </w:tc>
        <w:tc>
          <w:tcPr>
            <w:tcW w:w="5386" w:type="dxa"/>
          </w:tcPr>
          <w:p w:rsidR="00DC2338" w:rsidRPr="00BC601C" w:rsidRDefault="00DC2338">
            <w:pPr>
              <w:pStyle w:val="Default"/>
              <w:rPr>
                <w:sz w:val="22"/>
                <w:szCs w:val="22"/>
              </w:rPr>
            </w:pPr>
          </w:p>
          <w:p w:rsidR="00DC2338" w:rsidRPr="00BC601C" w:rsidRDefault="00DC2338" w:rsidP="00DC2338">
            <w:pPr>
              <w:pStyle w:val="Default"/>
              <w:rPr>
                <w:sz w:val="22"/>
                <w:szCs w:val="22"/>
              </w:rPr>
            </w:pPr>
            <w:r w:rsidRPr="00BC601C">
              <w:rPr>
                <w:sz w:val="22"/>
                <w:szCs w:val="22"/>
              </w:rPr>
              <w:t>The nature of this post means that you are exempt from Section 4(2) of the Rehabilitation of Offenders Act 1974 (Exceptions) Order 1975.  You are not, therefore, entitled to withhold information about convictions, which for other purposes are ‘spent’ under the provisions of the Act.  If you are appointed to the post, failure to disclose such convictions could result in the offer of appointment being withdrawn or disciplinary action being taken and possibly the police being notified.</w:t>
            </w:r>
          </w:p>
          <w:p w:rsidR="00DC2338" w:rsidRPr="00BC601C" w:rsidRDefault="00DC2338" w:rsidP="00DC2338">
            <w:pPr>
              <w:pStyle w:val="Default"/>
              <w:rPr>
                <w:sz w:val="22"/>
                <w:szCs w:val="22"/>
              </w:rPr>
            </w:pPr>
            <w:r w:rsidRPr="00BC601C">
              <w:rPr>
                <w:sz w:val="22"/>
                <w:szCs w:val="22"/>
              </w:rPr>
              <w:t xml:space="preserve"> </w:t>
            </w:r>
          </w:p>
          <w:p w:rsidR="00DC2338" w:rsidRPr="00BC601C" w:rsidRDefault="00DC2338" w:rsidP="00DC2338">
            <w:pPr>
              <w:pStyle w:val="Default"/>
              <w:rPr>
                <w:sz w:val="22"/>
                <w:szCs w:val="22"/>
              </w:rPr>
            </w:pPr>
            <w:r w:rsidRPr="00BC601C">
              <w:rPr>
                <w:sz w:val="22"/>
                <w:szCs w:val="22"/>
              </w:rPr>
              <w:t>You are not required to provide details of criminal convictions at application stage.  However, if shortlisted for interview you will be asked to supply further information, which will include spent convictions.</w:t>
            </w:r>
          </w:p>
        </w:tc>
      </w:tr>
    </w:tbl>
    <w:p w:rsidR="00797456" w:rsidRDefault="00797456" w:rsidP="00CD36E7"/>
    <w:sectPr w:rsidR="00797456" w:rsidSect="00DC2338">
      <w:headerReference w:type="default" r:id="rId8"/>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103" w:rsidRDefault="00963103" w:rsidP="00CE51BE">
      <w:pPr>
        <w:spacing w:after="0" w:line="240" w:lineRule="auto"/>
      </w:pPr>
      <w:r>
        <w:separator/>
      </w:r>
    </w:p>
  </w:endnote>
  <w:endnote w:type="continuationSeparator" w:id="0">
    <w:p w:rsidR="00963103" w:rsidRDefault="00963103" w:rsidP="00CE5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103" w:rsidRDefault="00963103" w:rsidP="00CE51BE">
      <w:pPr>
        <w:spacing w:after="0" w:line="240" w:lineRule="auto"/>
      </w:pPr>
      <w:r>
        <w:separator/>
      </w:r>
    </w:p>
  </w:footnote>
  <w:footnote w:type="continuationSeparator" w:id="0">
    <w:p w:rsidR="00963103" w:rsidRDefault="00963103" w:rsidP="00CE51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352" w:rsidRDefault="00913352" w:rsidP="00CE51BE">
    <w:pPr>
      <w:pStyle w:val="Header"/>
      <w:jc w:val="center"/>
    </w:pPr>
    <w:r>
      <w:rPr>
        <w:noProof/>
        <w:lang w:eastAsia="en-GB"/>
      </w:rPr>
      <w:drawing>
        <wp:anchor distT="0" distB="0" distL="114300" distR="114300" simplePos="0" relativeHeight="251658240" behindDoc="0" locked="0" layoutInCell="1" allowOverlap="1" wp14:anchorId="3112B3EB" wp14:editId="358D0C4C">
          <wp:simplePos x="0" y="0"/>
          <wp:positionH relativeFrom="column">
            <wp:posOffset>1971675</wp:posOffset>
          </wp:positionH>
          <wp:positionV relativeFrom="paragraph">
            <wp:posOffset>-106045</wp:posOffset>
          </wp:positionV>
          <wp:extent cx="1647825" cy="583478"/>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583478"/>
                  </a:xfrm>
                  <a:prstGeom prst="rect">
                    <a:avLst/>
                  </a:prstGeom>
                  <a:noFill/>
                </pic:spPr>
              </pic:pic>
            </a:graphicData>
          </a:graphic>
          <wp14:sizeRelH relativeFrom="page">
            <wp14:pctWidth>0</wp14:pctWidth>
          </wp14:sizeRelH>
          <wp14:sizeRelV relativeFrom="page">
            <wp14:pctHeight>0</wp14:pctHeight>
          </wp14:sizeRelV>
        </wp:anchor>
      </w:drawing>
    </w:r>
  </w:p>
  <w:p w:rsidR="00913352" w:rsidRDefault="009133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1BE"/>
    <w:rsid w:val="00011137"/>
    <w:rsid w:val="0005360C"/>
    <w:rsid w:val="00094AB4"/>
    <w:rsid w:val="001C41F2"/>
    <w:rsid w:val="00214D86"/>
    <w:rsid w:val="0028736D"/>
    <w:rsid w:val="002B7C3C"/>
    <w:rsid w:val="002F4616"/>
    <w:rsid w:val="00352D79"/>
    <w:rsid w:val="003C56EE"/>
    <w:rsid w:val="003D3C22"/>
    <w:rsid w:val="003F0B9C"/>
    <w:rsid w:val="00487423"/>
    <w:rsid w:val="004D3D04"/>
    <w:rsid w:val="00511980"/>
    <w:rsid w:val="00697CC8"/>
    <w:rsid w:val="006B6B0B"/>
    <w:rsid w:val="006D52BB"/>
    <w:rsid w:val="006E686D"/>
    <w:rsid w:val="00746ACA"/>
    <w:rsid w:val="007765A9"/>
    <w:rsid w:val="00797456"/>
    <w:rsid w:val="007E16E0"/>
    <w:rsid w:val="008220DB"/>
    <w:rsid w:val="008324A7"/>
    <w:rsid w:val="00841A37"/>
    <w:rsid w:val="00860C72"/>
    <w:rsid w:val="0088577B"/>
    <w:rsid w:val="00913352"/>
    <w:rsid w:val="0094613C"/>
    <w:rsid w:val="00963103"/>
    <w:rsid w:val="009A4403"/>
    <w:rsid w:val="00A14E9C"/>
    <w:rsid w:val="00B11CE7"/>
    <w:rsid w:val="00BC601C"/>
    <w:rsid w:val="00C042FA"/>
    <w:rsid w:val="00C2436D"/>
    <w:rsid w:val="00C678CD"/>
    <w:rsid w:val="00CD36E7"/>
    <w:rsid w:val="00CE51BE"/>
    <w:rsid w:val="00D5183F"/>
    <w:rsid w:val="00D85FB4"/>
    <w:rsid w:val="00DC2338"/>
    <w:rsid w:val="00E93AEC"/>
    <w:rsid w:val="00F61E09"/>
    <w:rsid w:val="00F6363F"/>
    <w:rsid w:val="00FB68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95BE80"/>
  <w15:docId w15:val="{212C8A21-04C0-417B-B0CE-0592E6627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51B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E51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51BE"/>
  </w:style>
  <w:style w:type="paragraph" w:styleId="Footer">
    <w:name w:val="footer"/>
    <w:basedOn w:val="Normal"/>
    <w:link w:val="FooterChar"/>
    <w:uiPriority w:val="99"/>
    <w:unhideWhenUsed/>
    <w:rsid w:val="00CE51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51BE"/>
  </w:style>
  <w:style w:type="paragraph" w:styleId="BalloonText">
    <w:name w:val="Balloon Text"/>
    <w:basedOn w:val="Normal"/>
    <w:link w:val="BalloonTextChar"/>
    <w:uiPriority w:val="99"/>
    <w:semiHidden/>
    <w:unhideWhenUsed/>
    <w:rsid w:val="00CE51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1BE"/>
    <w:rPr>
      <w:rFonts w:ascii="Tahoma" w:hAnsi="Tahoma" w:cs="Tahoma"/>
      <w:sz w:val="16"/>
      <w:szCs w:val="16"/>
    </w:rPr>
  </w:style>
  <w:style w:type="character" w:styleId="Hyperlink">
    <w:name w:val="Hyperlink"/>
    <w:basedOn w:val="DefaultParagraphFont"/>
    <w:uiPriority w:val="99"/>
    <w:unhideWhenUsed/>
    <w:rsid w:val="00D5183F"/>
    <w:rPr>
      <w:color w:val="0000FF" w:themeColor="hyperlink"/>
      <w:u w:val="single"/>
    </w:rPr>
  </w:style>
  <w:style w:type="paragraph" w:styleId="NoSpacing">
    <w:name w:val="No Spacing"/>
    <w:uiPriority w:val="1"/>
    <w:qFormat/>
    <w:rsid w:val="002B7C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eacherspensions.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C10F5-A3D0-444F-92E4-4B5191795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Loreto College</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Cox</dc:creator>
  <cp:lastModifiedBy>Noreen Poole</cp:lastModifiedBy>
  <cp:revision>3</cp:revision>
  <cp:lastPrinted>2018-03-15T16:39:00Z</cp:lastPrinted>
  <dcterms:created xsi:type="dcterms:W3CDTF">2018-05-11T09:33:00Z</dcterms:created>
  <dcterms:modified xsi:type="dcterms:W3CDTF">2018-05-11T09:33:00Z</dcterms:modified>
</cp:coreProperties>
</file>