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886DCF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</w:t>
      </w:r>
      <w:r w:rsidR="00A23A36">
        <w:rPr>
          <w:rFonts w:ascii="Arial" w:hAnsi="Arial" w:cs="Arial"/>
          <w:b/>
          <w:sz w:val="22"/>
          <w:szCs w:val="22"/>
        </w:rPr>
        <w:t>of Maths</w:t>
      </w:r>
      <w:r w:rsidR="009B7E54">
        <w:rPr>
          <w:rFonts w:ascii="Arial" w:hAnsi="Arial" w:cs="Arial"/>
          <w:b/>
          <w:sz w:val="22"/>
          <w:szCs w:val="22"/>
        </w:rPr>
        <w:t xml:space="preserve">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4915A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Th</w:t>
      </w:r>
      <w:r w:rsidR="00A23A36">
        <w:rPr>
          <w:rFonts w:ascii="Arial" w:eastAsia="Calibri" w:hAnsi="Arial" w:cs="Arial"/>
          <w:color w:val="000000"/>
          <w:sz w:val="22"/>
          <w:szCs w:val="22"/>
          <w:lang w:val="en-GB"/>
        </w:rPr>
        <w:t>ank you for your interest in the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A23A3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Maths in our high achieving Maths department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at Al Jazeera Academy.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applications should be forwarded to:</w:t>
      </w: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e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mail: </w:t>
      </w:r>
      <w:hyperlink r:id="rId7" w:history="1">
        <w:r w:rsidR="009B7E54" w:rsidRPr="00D14CC4">
          <w:rPr>
            <w:rStyle w:val="Hyperlink"/>
            <w:rFonts w:asciiTheme="minorBidi" w:eastAsia="Calibri" w:hAnsiTheme="minorBidi" w:cstheme="minorBidi"/>
            <w:bCs/>
            <w:sz w:val="22"/>
            <w:szCs w:val="22"/>
            <w:lang w:val="en-GB" w:eastAsia="en-GB"/>
          </w:rPr>
          <w:t>secondaryhead@aja.edu.qa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CF" w:rsidRDefault="00886DCF" w:rsidP="00760CEB">
      <w:pPr>
        <w:spacing w:after="0"/>
      </w:pPr>
      <w:r>
        <w:separator/>
      </w:r>
    </w:p>
  </w:endnote>
  <w:endnote w:type="continuationSeparator" w:id="0">
    <w:p w:rsidR="00886DCF" w:rsidRDefault="00886DCF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A23A36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886DCF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CF" w:rsidRDefault="00886DCF" w:rsidP="00760CEB">
      <w:pPr>
        <w:spacing w:after="0"/>
      </w:pPr>
      <w:r>
        <w:separator/>
      </w:r>
    </w:p>
  </w:footnote>
  <w:footnote w:type="continuationSeparator" w:id="0">
    <w:p w:rsidR="00886DCF" w:rsidRDefault="00886DCF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886D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886D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87888"/>
    <w:rsid w:val="001F653C"/>
    <w:rsid w:val="003C0474"/>
    <w:rsid w:val="00485387"/>
    <w:rsid w:val="004915AB"/>
    <w:rsid w:val="00561123"/>
    <w:rsid w:val="005F5336"/>
    <w:rsid w:val="00760CEB"/>
    <w:rsid w:val="007A5C3C"/>
    <w:rsid w:val="00856CB1"/>
    <w:rsid w:val="00886DCF"/>
    <w:rsid w:val="008A5E22"/>
    <w:rsid w:val="008C4306"/>
    <w:rsid w:val="009164AF"/>
    <w:rsid w:val="009B7E54"/>
    <w:rsid w:val="00A23A36"/>
    <w:rsid w:val="00A45251"/>
    <w:rsid w:val="00A61436"/>
    <w:rsid w:val="00B7690E"/>
    <w:rsid w:val="00BC3FB6"/>
    <w:rsid w:val="00C95146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B50D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ondaryhead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FF70-F2A6-4DE0-9AB2-2B570AD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2018-03-04T05:25:00Z</dcterms:created>
  <dcterms:modified xsi:type="dcterms:W3CDTF">2018-03-04T05:25:00Z</dcterms:modified>
</cp:coreProperties>
</file>