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38" w:rsidRPr="00E201C2" w:rsidRDefault="00CC531F" w:rsidP="00323A39">
      <w:pPr>
        <w:pStyle w:val="NormalWeb"/>
        <w:ind w:firstLine="851"/>
        <w:jc w:val="center"/>
        <w:rPr>
          <w:rFonts w:asciiTheme="minorHAnsi" w:hAnsiTheme="minorHAnsi"/>
          <w:color w:val="000000"/>
          <w:sz w:val="20"/>
          <w:szCs w:val="20"/>
          <w:lang w:val="en"/>
        </w:rPr>
      </w:pPr>
      <w:r w:rsidRPr="00E201C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5E1B38" wp14:editId="4C46D3F0">
            <wp:simplePos x="0" y="0"/>
            <wp:positionH relativeFrom="column">
              <wp:posOffset>4210050</wp:posOffset>
            </wp:positionH>
            <wp:positionV relativeFrom="paragraph">
              <wp:posOffset>-194945</wp:posOffset>
            </wp:positionV>
            <wp:extent cx="9144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150" y="21204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/>
                    <a:stretch/>
                  </pic:blipFill>
                  <pic:spPr bwMode="auto">
                    <a:xfrm>
                      <a:off x="0" y="0"/>
                      <a:ext cx="9144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C2" w:rsidRPr="00E201C2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1926C7" wp14:editId="33F17F4E">
            <wp:extent cx="2190750" cy="774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E" w:rsidRPr="00E201C2" w:rsidRDefault="00E11665" w:rsidP="007409AB">
      <w:pPr>
        <w:shd w:val="clear" w:color="auto" w:fill="FF00FF"/>
        <w:ind w:firstLine="143"/>
        <w:rPr>
          <w:rFonts w:asciiTheme="minorHAnsi" w:hAnsiTheme="minorHAnsi"/>
          <w:b/>
          <w:sz w:val="40"/>
          <w:szCs w:val="40"/>
          <w:lang w:eastAsia="en-US"/>
        </w:rPr>
      </w:pPr>
      <w:r>
        <w:rPr>
          <w:rFonts w:asciiTheme="minorHAnsi" w:hAnsiTheme="minorHAnsi"/>
          <w:b/>
          <w:color w:val="FFFFFF" w:themeColor="background1"/>
          <w:sz w:val="40"/>
          <w:szCs w:val="40"/>
          <w:lang w:eastAsia="en-US"/>
        </w:rPr>
        <w:t xml:space="preserve">DATA </w:t>
      </w:r>
      <w:r w:rsidR="00232EF2">
        <w:rPr>
          <w:rFonts w:asciiTheme="minorHAnsi" w:hAnsiTheme="minorHAnsi"/>
          <w:b/>
          <w:color w:val="FFFFFF" w:themeColor="background1"/>
          <w:sz w:val="40"/>
          <w:szCs w:val="40"/>
          <w:lang w:eastAsia="en-US"/>
        </w:rPr>
        <w:t>and EXAMINATIONS ASSISTANT</w:t>
      </w:r>
    </w:p>
    <w:p w:rsidR="00B120A1" w:rsidRPr="00E201C2" w:rsidRDefault="00B120A1" w:rsidP="00B120A1">
      <w:pPr>
        <w:rPr>
          <w:rFonts w:asciiTheme="minorHAnsi" w:hAnsiTheme="minorHAnsi"/>
          <w:b/>
          <w:sz w:val="20"/>
          <w:szCs w:val="20"/>
        </w:rPr>
      </w:pPr>
    </w:p>
    <w:p w:rsidR="007409AB" w:rsidRPr="00D74B03" w:rsidRDefault="007409AB" w:rsidP="007409AB">
      <w:pPr>
        <w:rPr>
          <w:rFonts w:asciiTheme="minorHAnsi" w:hAnsiTheme="minorHAnsi"/>
          <w:sz w:val="28"/>
          <w:szCs w:val="28"/>
        </w:rPr>
      </w:pPr>
      <w:r w:rsidRPr="00D74B03">
        <w:rPr>
          <w:rFonts w:asciiTheme="minorHAnsi" w:hAnsiTheme="minorHAnsi"/>
          <w:sz w:val="28"/>
          <w:szCs w:val="28"/>
        </w:rPr>
        <w:t>JOB DESCRIPTION</w:t>
      </w:r>
    </w:p>
    <w:p w:rsidR="007409AB" w:rsidRPr="00D74B03" w:rsidRDefault="007409AB" w:rsidP="007409AB">
      <w:pPr>
        <w:pBdr>
          <w:bottom w:val="single" w:sz="12" w:space="6" w:color="auto"/>
        </w:pBdr>
        <w:rPr>
          <w:rFonts w:asciiTheme="minorHAnsi" w:hAnsiTheme="minorHAnsi"/>
          <w:i/>
          <w:color w:val="7F7F7F" w:themeColor="text1" w:themeTint="80"/>
        </w:rPr>
      </w:pPr>
    </w:p>
    <w:p w:rsidR="007409AB" w:rsidRPr="00D74B03" w:rsidRDefault="007409AB" w:rsidP="007409AB">
      <w:pPr>
        <w:rPr>
          <w:rFonts w:asciiTheme="minorHAnsi" w:hAnsiTheme="minorHAnsi"/>
          <w:i/>
          <w:color w:val="7F7F7F" w:themeColor="text1" w:themeTint="80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7409AB" w:rsidRPr="00D74B03" w:rsidTr="00D725A8">
        <w:tc>
          <w:tcPr>
            <w:tcW w:w="4111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Line Managed by:</w:t>
            </w:r>
            <w:r w:rsidRPr="00D74B03">
              <w:rPr>
                <w:sz w:val="28"/>
                <w:szCs w:val="28"/>
                <w:lang w:val="en-GB"/>
              </w:rPr>
              <w:tab/>
            </w:r>
          </w:p>
        </w:tc>
        <w:tc>
          <w:tcPr>
            <w:tcW w:w="5670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 xml:space="preserve">Associate </w:t>
            </w:r>
            <w:proofErr w:type="spellStart"/>
            <w:r w:rsidRPr="00D74B03">
              <w:rPr>
                <w:sz w:val="28"/>
                <w:szCs w:val="28"/>
                <w:lang w:val="en-GB"/>
              </w:rPr>
              <w:t>Headteacher</w:t>
            </w:r>
            <w:proofErr w:type="spellEnd"/>
          </w:p>
        </w:tc>
      </w:tr>
      <w:tr w:rsidR="007409AB" w:rsidRPr="00D74B03" w:rsidTr="00D725A8">
        <w:tc>
          <w:tcPr>
            <w:tcW w:w="4111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Line Manager for:</w:t>
            </w:r>
          </w:p>
        </w:tc>
        <w:tc>
          <w:tcPr>
            <w:tcW w:w="5670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n/a</w:t>
            </w:r>
          </w:p>
        </w:tc>
      </w:tr>
      <w:tr w:rsidR="007409AB" w:rsidRPr="00D74B03" w:rsidTr="00D725A8">
        <w:tc>
          <w:tcPr>
            <w:tcW w:w="4111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Salary Scale:</w:t>
            </w:r>
          </w:p>
        </w:tc>
        <w:tc>
          <w:tcPr>
            <w:tcW w:w="5670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NJC Scale 5 (</w:t>
            </w:r>
            <w:proofErr w:type="spellStart"/>
            <w:r w:rsidRPr="00D74B03">
              <w:rPr>
                <w:sz w:val="28"/>
                <w:szCs w:val="28"/>
                <w:lang w:val="en-GB"/>
              </w:rPr>
              <w:t>pt</w:t>
            </w:r>
            <w:proofErr w:type="spellEnd"/>
            <w:r w:rsidRPr="00D74B03">
              <w:rPr>
                <w:sz w:val="28"/>
                <w:szCs w:val="28"/>
                <w:lang w:val="en-GB"/>
              </w:rPr>
              <w:t xml:space="preserve"> range 22-25)</w:t>
            </w:r>
          </w:p>
          <w:p w:rsidR="007409AB" w:rsidRPr="00D74B03" w:rsidRDefault="007409AB" w:rsidP="007409AB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£22,506 to £24,510  (pro rata)</w:t>
            </w:r>
          </w:p>
        </w:tc>
      </w:tr>
      <w:tr w:rsidR="007409AB" w:rsidRPr="00D74B03" w:rsidTr="00D725A8">
        <w:tc>
          <w:tcPr>
            <w:tcW w:w="4111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Hours:</w:t>
            </w:r>
          </w:p>
        </w:tc>
        <w:tc>
          <w:tcPr>
            <w:tcW w:w="5670" w:type="dxa"/>
          </w:tcPr>
          <w:p w:rsidR="007409AB" w:rsidRPr="00D74B03" w:rsidRDefault="007409AB" w:rsidP="007409AB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36 hours, 41 weeks per year</w:t>
            </w:r>
          </w:p>
        </w:tc>
      </w:tr>
      <w:tr w:rsidR="007409AB" w:rsidRPr="00D74B03" w:rsidTr="00D725A8">
        <w:tc>
          <w:tcPr>
            <w:tcW w:w="4111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Annual Leave:</w:t>
            </w:r>
          </w:p>
        </w:tc>
        <w:tc>
          <w:tcPr>
            <w:tcW w:w="5670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Taken within school closure periods only</w:t>
            </w:r>
          </w:p>
        </w:tc>
      </w:tr>
      <w:tr w:rsidR="007409AB" w:rsidRPr="00D74B03" w:rsidTr="00D725A8">
        <w:tc>
          <w:tcPr>
            <w:tcW w:w="4111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Contract</w:t>
            </w:r>
          </w:p>
        </w:tc>
        <w:tc>
          <w:tcPr>
            <w:tcW w:w="5670" w:type="dxa"/>
          </w:tcPr>
          <w:p w:rsidR="007409AB" w:rsidRPr="00D74B03" w:rsidRDefault="007409AB" w:rsidP="00D725A8">
            <w:pPr>
              <w:ind w:right="-149"/>
              <w:rPr>
                <w:sz w:val="28"/>
                <w:szCs w:val="28"/>
                <w:lang w:val="en-GB"/>
              </w:rPr>
            </w:pPr>
            <w:r w:rsidRPr="00D74B03">
              <w:rPr>
                <w:sz w:val="28"/>
                <w:szCs w:val="28"/>
                <w:lang w:val="en-GB"/>
              </w:rPr>
              <w:t>Permanent</w:t>
            </w:r>
          </w:p>
        </w:tc>
      </w:tr>
    </w:tbl>
    <w:p w:rsidR="007409AB" w:rsidRPr="00D74B03" w:rsidRDefault="007409AB" w:rsidP="007409AB">
      <w:pPr>
        <w:ind w:right="-149"/>
        <w:rPr>
          <w:rFonts w:asciiTheme="minorHAnsi" w:hAnsiTheme="minorHAnsi"/>
        </w:rPr>
      </w:pP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  <w:r w:rsidRPr="00D74B03">
        <w:rPr>
          <w:rFonts w:asciiTheme="minorHAnsi" w:hAnsiTheme="minorHAnsi" w:cs="Tahoma"/>
          <w:b/>
        </w:rPr>
        <w:t>JOB PURPOSE</w:t>
      </w:r>
    </w:p>
    <w:p w:rsidR="007409AB" w:rsidRPr="00D74B03" w:rsidRDefault="007409AB" w:rsidP="007409AB">
      <w:p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 xml:space="preserve">To maintain the school’s educational data, ensuring integrity of the information, and provide reports to staff, students and parents. To assist the </w:t>
      </w:r>
      <w:r w:rsidR="00DF64E8" w:rsidRPr="00D74B03">
        <w:rPr>
          <w:rFonts w:asciiTheme="minorHAnsi" w:hAnsiTheme="minorHAnsi" w:cs="Tahoma"/>
        </w:rPr>
        <w:t xml:space="preserve">Trust Data Analyst, </w:t>
      </w:r>
      <w:r w:rsidR="00D74B03">
        <w:rPr>
          <w:rFonts w:asciiTheme="minorHAnsi" w:hAnsiTheme="minorHAnsi" w:cs="Tahoma"/>
        </w:rPr>
        <w:t xml:space="preserve">the </w:t>
      </w:r>
      <w:r w:rsidR="00DF64E8" w:rsidRPr="00D74B03">
        <w:rPr>
          <w:rFonts w:asciiTheme="minorHAnsi" w:hAnsiTheme="minorHAnsi" w:cs="Tahoma"/>
        </w:rPr>
        <w:t>Exam Officer and Ad</w:t>
      </w:r>
      <w:r w:rsidRPr="00D74B03">
        <w:rPr>
          <w:rFonts w:asciiTheme="minorHAnsi" w:hAnsiTheme="minorHAnsi" w:cs="Tahoma"/>
        </w:rPr>
        <w:t xml:space="preserve">missions </w:t>
      </w:r>
      <w:r w:rsidR="00D74B03">
        <w:rPr>
          <w:rFonts w:asciiTheme="minorHAnsi" w:hAnsiTheme="minorHAnsi" w:cs="Tahoma"/>
        </w:rPr>
        <w:t>M</w:t>
      </w:r>
      <w:r w:rsidRPr="00D74B03">
        <w:rPr>
          <w:rFonts w:asciiTheme="minorHAnsi" w:hAnsiTheme="minorHAnsi" w:cs="Tahoma"/>
        </w:rPr>
        <w:t>anager</w:t>
      </w:r>
      <w:r w:rsidR="00D74B03">
        <w:rPr>
          <w:rFonts w:asciiTheme="minorHAnsi" w:hAnsiTheme="minorHAnsi" w:cs="Tahoma"/>
        </w:rPr>
        <w:t xml:space="preserve"> as and when required</w:t>
      </w:r>
      <w:r w:rsidRPr="00D74B03">
        <w:rPr>
          <w:rFonts w:asciiTheme="minorHAnsi" w:hAnsiTheme="minorHAnsi" w:cs="Tahoma"/>
        </w:rPr>
        <w:t>.</w:t>
      </w: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  <w:r w:rsidRPr="00D74B03">
        <w:rPr>
          <w:rFonts w:asciiTheme="minorHAnsi" w:hAnsiTheme="minorHAnsi" w:cs="Tahoma"/>
          <w:b/>
        </w:rPr>
        <w:t>SPECIFIC DUTIES</w:t>
      </w: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Maintaining a system for all student educational data ensuring the integrity, accuracy and completeness of the information.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Liaise with subject line managers regarding gaps and data quality of assessment data.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Use the Helpdesk to prioritise staff data requests, investigating the feasibility of ad-hoc requests.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Assist in the development of the database and systems to produce performance data for the school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Produce parental reports of assessment data.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 xml:space="preserve">Liaise with staff and Deputy </w:t>
      </w:r>
      <w:proofErr w:type="spellStart"/>
      <w:r w:rsidRPr="00D74B03">
        <w:rPr>
          <w:rFonts w:asciiTheme="minorHAnsi" w:hAnsiTheme="minorHAnsi" w:cs="Tahoma"/>
        </w:rPr>
        <w:t>Headteacher</w:t>
      </w:r>
      <w:proofErr w:type="spellEnd"/>
      <w:r w:rsidRPr="00D74B03">
        <w:rPr>
          <w:rFonts w:asciiTheme="minorHAnsi" w:hAnsiTheme="minorHAnsi" w:cs="Tahoma"/>
        </w:rPr>
        <w:t xml:space="preserve"> </w:t>
      </w:r>
      <w:r w:rsidR="00D74B03">
        <w:rPr>
          <w:rFonts w:asciiTheme="minorHAnsi" w:hAnsiTheme="minorHAnsi" w:cs="Tahoma"/>
        </w:rPr>
        <w:t>to</w:t>
      </w:r>
      <w:r w:rsidRPr="00D74B03">
        <w:rPr>
          <w:rFonts w:asciiTheme="minorHAnsi" w:hAnsiTheme="minorHAnsi" w:cs="Tahoma"/>
        </w:rPr>
        <w:t xml:space="preserve"> provid</w:t>
      </w:r>
      <w:r w:rsidR="00D74B03">
        <w:rPr>
          <w:rFonts w:asciiTheme="minorHAnsi" w:hAnsiTheme="minorHAnsi" w:cs="Tahoma"/>
        </w:rPr>
        <w:t>e information for</w:t>
      </w:r>
      <w:r w:rsidRPr="00D74B03">
        <w:rPr>
          <w:rFonts w:asciiTheme="minorHAnsi" w:hAnsiTheme="minorHAnsi" w:cs="Tahoma"/>
        </w:rPr>
        <w:t xml:space="preserve"> parental information evenings/academic tutoring day</w:t>
      </w:r>
      <w:bookmarkStart w:id="0" w:name="_GoBack"/>
      <w:bookmarkEnd w:id="0"/>
      <w:r w:rsidR="00D74B03">
        <w:rPr>
          <w:rFonts w:asciiTheme="minorHAnsi" w:hAnsiTheme="minorHAnsi" w:cs="Tahoma"/>
        </w:rPr>
        <w:t xml:space="preserve"> reports</w:t>
      </w:r>
      <w:r w:rsidRPr="00D74B03">
        <w:rPr>
          <w:rFonts w:asciiTheme="minorHAnsi" w:hAnsiTheme="minorHAnsi" w:cs="Tahoma"/>
        </w:rPr>
        <w:t>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Provide copies of report data for pastoral and academic student meetings.</w:t>
      </w:r>
    </w:p>
    <w:p w:rsidR="007409AB" w:rsidRPr="00D74B03" w:rsidRDefault="007409AB" w:rsidP="007409AB">
      <w:pPr>
        <w:rPr>
          <w:rFonts w:asciiTheme="minorHAnsi" w:hAnsiTheme="minorHAnsi" w:cs="Tahoma"/>
        </w:rPr>
      </w:pPr>
    </w:p>
    <w:p w:rsidR="00DF64E8" w:rsidRPr="00D74B03" w:rsidRDefault="00DF64E8" w:rsidP="00DF64E8">
      <w:pPr>
        <w:rPr>
          <w:rFonts w:asciiTheme="minorHAnsi" w:hAnsiTheme="minorHAnsi" w:cs="Tahoma"/>
          <w:b/>
        </w:rPr>
      </w:pPr>
      <w:r w:rsidRPr="00D74B03">
        <w:rPr>
          <w:rFonts w:asciiTheme="minorHAnsi" w:hAnsiTheme="minorHAnsi" w:cs="Tahoma"/>
          <w:b/>
        </w:rPr>
        <w:t xml:space="preserve">ASSIST IN THE MANAGEMENT OF </w:t>
      </w:r>
      <w:r w:rsidRPr="00D74B03">
        <w:rPr>
          <w:rFonts w:asciiTheme="minorHAnsi" w:hAnsiTheme="minorHAnsi" w:cs="Tahoma"/>
          <w:b/>
        </w:rPr>
        <w:t>EXAMS</w:t>
      </w:r>
    </w:p>
    <w:p w:rsidR="00DF64E8" w:rsidRPr="00D74B03" w:rsidRDefault="00DF64E8" w:rsidP="00DF64E8">
      <w:pPr>
        <w:pStyle w:val="NoSpacing"/>
        <w:rPr>
          <w:lang w:eastAsia="en-GB"/>
        </w:rPr>
      </w:pPr>
    </w:p>
    <w:p w:rsidR="00DF64E8" w:rsidRPr="00D74B03" w:rsidRDefault="00D74B03" w:rsidP="00DF64E8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Give proactive support to the Examinations Officer</w:t>
      </w:r>
    </w:p>
    <w:p w:rsidR="00D74B03" w:rsidRPr="00D74B03" w:rsidRDefault="00D74B03" w:rsidP="00DF64E8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Update/create seating plans and registers</w:t>
      </w:r>
    </w:p>
    <w:p w:rsidR="00D74B03" w:rsidRPr="00D74B03" w:rsidRDefault="00D74B03" w:rsidP="00DF64E8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Assist with exam day preparation</w:t>
      </w:r>
    </w:p>
    <w:p w:rsidR="00D74B03" w:rsidRPr="00D74B03" w:rsidRDefault="00D74B03" w:rsidP="00DF64E8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Liaise with exam boards</w:t>
      </w:r>
    </w:p>
    <w:p w:rsidR="00D74B03" w:rsidRPr="00D74B03" w:rsidRDefault="00D74B03" w:rsidP="00DF64E8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Deputise for the examinations in their absence</w:t>
      </w:r>
    </w:p>
    <w:p w:rsidR="00DF64E8" w:rsidRPr="00D74B03" w:rsidRDefault="00D74B03" w:rsidP="00DF64E8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Any other administration tasks in relation to the exams office</w:t>
      </w:r>
    </w:p>
    <w:p w:rsidR="00DF64E8" w:rsidRPr="00D74B03" w:rsidRDefault="00D74B03" w:rsidP="00DF64E8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Ensure all external invigilators attend the appropriate training on a cyclical basis – personally invigilating if required</w:t>
      </w:r>
    </w:p>
    <w:p w:rsidR="00DF64E8" w:rsidRPr="00D74B03" w:rsidRDefault="00D74B03" w:rsidP="00DF64E8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Assist with projects as required</w:t>
      </w:r>
      <w:r w:rsidR="00DF64E8" w:rsidRPr="00D74B03">
        <w:rPr>
          <w:rFonts w:asciiTheme="minorHAnsi" w:hAnsiTheme="minorHAnsi" w:cs="Tahoma"/>
        </w:rPr>
        <w:t>.</w:t>
      </w:r>
    </w:p>
    <w:p w:rsidR="00DF64E8" w:rsidRPr="00D74B03" w:rsidRDefault="00DF64E8" w:rsidP="00DF64E8">
      <w:pPr>
        <w:ind w:left="360"/>
        <w:rPr>
          <w:rFonts w:asciiTheme="minorHAnsi" w:hAnsiTheme="minorHAnsi" w:cs="Tahoma"/>
          <w:b/>
        </w:rPr>
      </w:pP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  <w:r w:rsidRPr="00D74B03">
        <w:rPr>
          <w:rFonts w:asciiTheme="minorHAnsi" w:hAnsiTheme="minorHAnsi" w:cs="Tahoma"/>
          <w:b/>
        </w:rPr>
        <w:t>ASSIST IN THE MANAGEMENT OF ADMISSIONS DATA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To liaise with the Admissions Manager with processing student admissions into Year 7 and casual admissions.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To input admissions data.</w:t>
      </w: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</w:p>
    <w:p w:rsidR="007409AB" w:rsidRPr="00D74B03" w:rsidRDefault="007409AB" w:rsidP="007409AB">
      <w:pPr>
        <w:rPr>
          <w:rFonts w:asciiTheme="minorHAnsi" w:hAnsiTheme="minorHAnsi" w:cs="Tahoma"/>
          <w:b/>
        </w:rPr>
      </w:pPr>
      <w:r w:rsidRPr="00D74B03">
        <w:rPr>
          <w:rFonts w:asciiTheme="minorHAnsi" w:hAnsiTheme="minorHAnsi" w:cs="Tahoma"/>
          <w:b/>
        </w:rPr>
        <w:t>ADMIN SUPPORT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Provide support to SIMS users in relation to educational data.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To assist in documentation of new and existing processes to facilitate data management.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To work openly, positively, consistently, with commitment and enthusiasm for the success of the schools’ endeavours.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To represent the school in a positive manner at all times.</w:t>
      </w:r>
    </w:p>
    <w:p w:rsidR="007409AB" w:rsidRPr="00D74B03" w:rsidRDefault="007409AB" w:rsidP="007409AB">
      <w:pPr>
        <w:numPr>
          <w:ilvl w:val="0"/>
          <w:numId w:val="6"/>
        </w:numPr>
        <w:rPr>
          <w:rFonts w:asciiTheme="minorHAnsi" w:hAnsiTheme="minorHAnsi" w:cs="Tahoma"/>
        </w:rPr>
      </w:pPr>
      <w:r w:rsidRPr="00D74B03">
        <w:rPr>
          <w:rFonts w:asciiTheme="minorHAnsi" w:hAnsiTheme="minorHAnsi" w:cs="Tahoma"/>
        </w:rPr>
        <w:t>To attend staff meetings and undertake training.</w:t>
      </w:r>
    </w:p>
    <w:p w:rsidR="00D74B03" w:rsidRPr="00D74B03" w:rsidRDefault="00D74B03" w:rsidP="00D74B03">
      <w:pPr>
        <w:ind w:left="360"/>
        <w:rPr>
          <w:rFonts w:asciiTheme="minorHAnsi" w:hAnsiTheme="minorHAnsi" w:cs="Tahoma"/>
        </w:rPr>
      </w:pPr>
    </w:p>
    <w:p w:rsidR="007409AB" w:rsidRPr="00D74B03" w:rsidRDefault="007409AB" w:rsidP="00D74B03">
      <w:pPr>
        <w:rPr>
          <w:rFonts w:asciiTheme="minorHAnsi" w:hAnsiTheme="minorHAnsi" w:cs="Tahoma"/>
          <w:b/>
          <w:i/>
        </w:rPr>
      </w:pPr>
      <w:r w:rsidRPr="00D74B03">
        <w:rPr>
          <w:rFonts w:asciiTheme="minorHAnsi" w:hAnsiTheme="minorHAnsi" w:cs="Tahoma"/>
          <w:b/>
          <w:i/>
        </w:rPr>
        <w:t xml:space="preserve">Such other additional reasonable tasks as may be required by the school at the discretion of the Line Manager and </w:t>
      </w:r>
      <w:proofErr w:type="spellStart"/>
      <w:r w:rsidRPr="00D74B03">
        <w:rPr>
          <w:rFonts w:asciiTheme="minorHAnsi" w:hAnsiTheme="minorHAnsi" w:cs="Tahoma"/>
          <w:b/>
          <w:i/>
        </w:rPr>
        <w:t>Headteacher</w:t>
      </w:r>
      <w:proofErr w:type="spellEnd"/>
      <w:r w:rsidRPr="00D74B03">
        <w:rPr>
          <w:rFonts w:asciiTheme="minorHAnsi" w:hAnsiTheme="minorHAnsi" w:cs="Tahoma"/>
          <w:b/>
          <w:i/>
        </w:rPr>
        <w:t>.</w:t>
      </w:r>
    </w:p>
    <w:p w:rsidR="007409AB" w:rsidRPr="00D74B03" w:rsidRDefault="007409AB" w:rsidP="007409AB">
      <w:pPr>
        <w:rPr>
          <w:rFonts w:asciiTheme="minorHAnsi" w:hAnsiTheme="minorHAnsi" w:cs="Tahoma"/>
        </w:rPr>
      </w:pPr>
    </w:p>
    <w:p w:rsidR="007409AB" w:rsidRPr="00D74B03" w:rsidRDefault="007409AB" w:rsidP="007409AB">
      <w:pPr>
        <w:ind w:right="-149"/>
        <w:jc w:val="both"/>
        <w:rPr>
          <w:rFonts w:asciiTheme="minorHAnsi" w:hAnsiTheme="minorHAnsi"/>
          <w:color w:val="7F7F7F" w:themeColor="text1" w:themeTint="80"/>
        </w:rPr>
      </w:pPr>
    </w:p>
    <w:p w:rsidR="00E201C2" w:rsidRPr="00D74B03" w:rsidRDefault="00E201C2" w:rsidP="007409AB">
      <w:pPr>
        <w:rPr>
          <w:rFonts w:asciiTheme="minorHAnsi" w:hAnsiTheme="minorHAnsi"/>
          <w:sz w:val="20"/>
          <w:szCs w:val="20"/>
        </w:rPr>
      </w:pPr>
    </w:p>
    <w:sectPr w:rsidR="00E201C2" w:rsidRPr="00D74B03" w:rsidSect="00492862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303"/>
    <w:multiLevelType w:val="hybridMultilevel"/>
    <w:tmpl w:val="7EBC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1701"/>
    <w:multiLevelType w:val="hybridMultilevel"/>
    <w:tmpl w:val="A2E251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E40AA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9536FC"/>
    <w:multiLevelType w:val="hybridMultilevel"/>
    <w:tmpl w:val="3E72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219"/>
    <w:multiLevelType w:val="hybridMultilevel"/>
    <w:tmpl w:val="0DD6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7BF3"/>
    <w:multiLevelType w:val="multilevel"/>
    <w:tmpl w:val="EF1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71856"/>
    <w:multiLevelType w:val="multilevel"/>
    <w:tmpl w:val="BD3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E21B3"/>
    <w:multiLevelType w:val="hybridMultilevel"/>
    <w:tmpl w:val="FED0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F76D2"/>
    <w:multiLevelType w:val="hybridMultilevel"/>
    <w:tmpl w:val="3CEC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68"/>
    <w:rsid w:val="00011B0C"/>
    <w:rsid w:val="0003592D"/>
    <w:rsid w:val="00051D99"/>
    <w:rsid w:val="00060FB0"/>
    <w:rsid w:val="000631F0"/>
    <w:rsid w:val="00083EA6"/>
    <w:rsid w:val="000B3235"/>
    <w:rsid w:val="000D5572"/>
    <w:rsid w:val="000E6CF7"/>
    <w:rsid w:val="000F0909"/>
    <w:rsid w:val="00111A0A"/>
    <w:rsid w:val="00117402"/>
    <w:rsid w:val="001206A4"/>
    <w:rsid w:val="0012745B"/>
    <w:rsid w:val="00186F13"/>
    <w:rsid w:val="001977B3"/>
    <w:rsid w:val="001D57DE"/>
    <w:rsid w:val="00202D75"/>
    <w:rsid w:val="002045AF"/>
    <w:rsid w:val="00224B19"/>
    <w:rsid w:val="00232EF2"/>
    <w:rsid w:val="00246395"/>
    <w:rsid w:val="00281B2D"/>
    <w:rsid w:val="00287181"/>
    <w:rsid w:val="00293390"/>
    <w:rsid w:val="002B20BC"/>
    <w:rsid w:val="00323A39"/>
    <w:rsid w:val="00335E19"/>
    <w:rsid w:val="00397EF6"/>
    <w:rsid w:val="003A18C4"/>
    <w:rsid w:val="003C7EAA"/>
    <w:rsid w:val="003E3A10"/>
    <w:rsid w:val="003F059B"/>
    <w:rsid w:val="004213ED"/>
    <w:rsid w:val="00432C65"/>
    <w:rsid w:val="00434FA2"/>
    <w:rsid w:val="00446B1A"/>
    <w:rsid w:val="00463ECC"/>
    <w:rsid w:val="00480852"/>
    <w:rsid w:val="00483832"/>
    <w:rsid w:val="00492862"/>
    <w:rsid w:val="004971A2"/>
    <w:rsid w:val="004B74A6"/>
    <w:rsid w:val="005278F8"/>
    <w:rsid w:val="005531FB"/>
    <w:rsid w:val="005C0BC7"/>
    <w:rsid w:val="005C15D4"/>
    <w:rsid w:val="005D2905"/>
    <w:rsid w:val="005E2866"/>
    <w:rsid w:val="00642082"/>
    <w:rsid w:val="00646381"/>
    <w:rsid w:val="00647421"/>
    <w:rsid w:val="00664A33"/>
    <w:rsid w:val="00664E3C"/>
    <w:rsid w:val="0066570A"/>
    <w:rsid w:val="0067639B"/>
    <w:rsid w:val="00685472"/>
    <w:rsid w:val="0068551F"/>
    <w:rsid w:val="0069612E"/>
    <w:rsid w:val="006B1779"/>
    <w:rsid w:val="006E7F03"/>
    <w:rsid w:val="006F11DC"/>
    <w:rsid w:val="007324BA"/>
    <w:rsid w:val="007409AB"/>
    <w:rsid w:val="00780D71"/>
    <w:rsid w:val="007B7D6F"/>
    <w:rsid w:val="007D1BA0"/>
    <w:rsid w:val="007D345C"/>
    <w:rsid w:val="007E0494"/>
    <w:rsid w:val="007E79F1"/>
    <w:rsid w:val="008702C8"/>
    <w:rsid w:val="008A542B"/>
    <w:rsid w:val="008F4F38"/>
    <w:rsid w:val="00905560"/>
    <w:rsid w:val="00924F5D"/>
    <w:rsid w:val="00990C01"/>
    <w:rsid w:val="00993087"/>
    <w:rsid w:val="00A0204B"/>
    <w:rsid w:val="00A034DA"/>
    <w:rsid w:val="00A271F1"/>
    <w:rsid w:val="00B070AD"/>
    <w:rsid w:val="00B120A1"/>
    <w:rsid w:val="00B43123"/>
    <w:rsid w:val="00B44BDF"/>
    <w:rsid w:val="00B53F4B"/>
    <w:rsid w:val="00B61744"/>
    <w:rsid w:val="00B74A33"/>
    <w:rsid w:val="00BB663F"/>
    <w:rsid w:val="00C013B5"/>
    <w:rsid w:val="00C05E3F"/>
    <w:rsid w:val="00C22093"/>
    <w:rsid w:val="00C359B2"/>
    <w:rsid w:val="00C51194"/>
    <w:rsid w:val="00C9210F"/>
    <w:rsid w:val="00C95A2F"/>
    <w:rsid w:val="00CC1332"/>
    <w:rsid w:val="00CC531F"/>
    <w:rsid w:val="00CF3739"/>
    <w:rsid w:val="00CF62F4"/>
    <w:rsid w:val="00D06E68"/>
    <w:rsid w:val="00D451DA"/>
    <w:rsid w:val="00D57F45"/>
    <w:rsid w:val="00D7132B"/>
    <w:rsid w:val="00D74B03"/>
    <w:rsid w:val="00D90335"/>
    <w:rsid w:val="00DB4B08"/>
    <w:rsid w:val="00DC2F81"/>
    <w:rsid w:val="00DE0EC7"/>
    <w:rsid w:val="00DF64E8"/>
    <w:rsid w:val="00E11665"/>
    <w:rsid w:val="00E12D7B"/>
    <w:rsid w:val="00E201C2"/>
    <w:rsid w:val="00E70827"/>
    <w:rsid w:val="00E72728"/>
    <w:rsid w:val="00EB26B9"/>
    <w:rsid w:val="00F06259"/>
    <w:rsid w:val="00F2135F"/>
    <w:rsid w:val="00F323F8"/>
    <w:rsid w:val="00F33016"/>
    <w:rsid w:val="00F34B5F"/>
    <w:rsid w:val="00F34F11"/>
    <w:rsid w:val="00F758D1"/>
    <w:rsid w:val="00F95D38"/>
    <w:rsid w:val="00FD122D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D06E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6E68"/>
    <w:pPr>
      <w:spacing w:before="100" w:beforeAutospacing="1" w:after="100" w:afterAutospacing="1"/>
    </w:pPr>
  </w:style>
  <w:style w:type="character" w:styleId="Strong">
    <w:name w:val="Strong"/>
    <w:qFormat/>
    <w:rsid w:val="00D06E68"/>
    <w:rPr>
      <w:b/>
      <w:bCs/>
    </w:rPr>
  </w:style>
  <w:style w:type="character" w:styleId="Hyperlink">
    <w:name w:val="Hyperlink"/>
    <w:rsid w:val="005E2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7EF6"/>
  </w:style>
  <w:style w:type="paragraph" w:styleId="BalloonText">
    <w:name w:val="Balloon Text"/>
    <w:basedOn w:val="Normal"/>
    <w:link w:val="BalloonTextChar"/>
    <w:rsid w:val="0005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BD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9210F"/>
    <w:rPr>
      <w:i/>
      <w:iCs/>
    </w:rPr>
  </w:style>
  <w:style w:type="table" w:styleId="TableGrid">
    <w:name w:val="Table Grid"/>
    <w:basedOn w:val="TableNormal"/>
    <w:uiPriority w:val="59"/>
    <w:rsid w:val="007409AB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64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D06E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6E68"/>
    <w:pPr>
      <w:spacing w:before="100" w:beforeAutospacing="1" w:after="100" w:afterAutospacing="1"/>
    </w:pPr>
  </w:style>
  <w:style w:type="character" w:styleId="Strong">
    <w:name w:val="Strong"/>
    <w:qFormat/>
    <w:rsid w:val="00D06E68"/>
    <w:rPr>
      <w:b/>
      <w:bCs/>
    </w:rPr>
  </w:style>
  <w:style w:type="character" w:styleId="Hyperlink">
    <w:name w:val="Hyperlink"/>
    <w:rsid w:val="005E2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7EF6"/>
  </w:style>
  <w:style w:type="paragraph" w:styleId="BalloonText">
    <w:name w:val="Balloon Text"/>
    <w:basedOn w:val="Normal"/>
    <w:link w:val="BalloonTextChar"/>
    <w:rsid w:val="0005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BD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9210F"/>
    <w:rPr>
      <w:i/>
      <w:iCs/>
    </w:rPr>
  </w:style>
  <w:style w:type="table" w:styleId="TableGrid">
    <w:name w:val="Table Grid"/>
    <w:basedOn w:val="TableNormal"/>
    <w:uiPriority w:val="59"/>
    <w:rsid w:val="007409AB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64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in Charge of Visual and Performing Arts Faculty – Drama Specialism</vt:lpstr>
    </vt:vector>
  </TitlesOfParts>
  <Company>Grey Court School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 Charge of Visual and Performing Arts Faculty – Drama Specialism</dc:title>
  <dc:creator>aali</dc:creator>
  <cp:lastModifiedBy>Cathy Welton</cp:lastModifiedBy>
  <cp:revision>4</cp:revision>
  <cp:lastPrinted>2018-05-01T13:20:00Z</cp:lastPrinted>
  <dcterms:created xsi:type="dcterms:W3CDTF">2018-04-24T09:43:00Z</dcterms:created>
  <dcterms:modified xsi:type="dcterms:W3CDTF">2018-05-01T13:58:00Z</dcterms:modified>
</cp:coreProperties>
</file>