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22"/>
          <w:szCs w:val="22"/>
          <w:u w:val="single"/>
        </w:rPr>
      </w:pPr>
      <w:bookmarkStart w:id="0" w:name="_GoBack"/>
      <w:bookmarkEnd w:id="0"/>
    </w:p>
    <w:p>
      <w:pPr>
        <w:rPr>
          <w:rFonts w:ascii="Arial" w:hAnsi="Arial" w:cs="Arial"/>
          <w:b/>
          <w:sz w:val="22"/>
          <w:szCs w:val="22"/>
          <w:u w:val="single"/>
        </w:rPr>
      </w:pPr>
      <w:r>
        <w:rPr>
          <w:rFonts w:ascii="Arial" w:hAnsi="Arial" w:cs="Arial"/>
          <w:b/>
          <w:sz w:val="22"/>
          <w:szCs w:val="22"/>
          <w:u w:val="single"/>
        </w:rPr>
        <w:t>Job Description</w:t>
      </w:r>
    </w:p>
    <w:p>
      <w:pPr>
        <w:pStyle w:val="Heading2"/>
        <w:spacing w:before="0" w:after="0"/>
        <w:jc w:val="both"/>
        <w:rPr>
          <w:rFonts w:ascii="Arial" w:hAnsi="Arial" w:cs="Arial"/>
          <w:i w:val="0"/>
          <w:sz w:val="22"/>
          <w:szCs w:val="22"/>
        </w:rPr>
      </w:pPr>
    </w:p>
    <w:tbl>
      <w:tblPr>
        <w:tblW w:w="904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7614"/>
      </w:tblGrid>
      <w:tr>
        <w:tc>
          <w:tcPr>
            <w:tcW w:w="1317" w:type="dxa"/>
            <w:shd w:val="clear" w:color="auto" w:fill="auto"/>
          </w:tcPr>
          <w:p>
            <w:pPr>
              <w:rPr>
                <w:rFonts w:ascii="Arial" w:eastAsia="Calibri" w:hAnsi="Arial" w:cs="Arial"/>
                <w:sz w:val="22"/>
                <w:szCs w:val="22"/>
              </w:rPr>
            </w:pPr>
            <w:r>
              <w:rPr>
                <w:rFonts w:ascii="Arial" w:eastAsia="Calibri" w:hAnsi="Arial" w:cs="Arial"/>
                <w:sz w:val="22"/>
                <w:szCs w:val="22"/>
              </w:rPr>
              <w:t>Job Title</w:t>
            </w:r>
          </w:p>
        </w:tc>
        <w:tc>
          <w:tcPr>
            <w:tcW w:w="7724" w:type="dxa"/>
            <w:shd w:val="clear" w:color="auto" w:fill="auto"/>
          </w:tcPr>
          <w:p>
            <w:pPr>
              <w:rPr>
                <w:rFonts w:ascii="Arial" w:eastAsia="Calibri" w:hAnsi="Arial" w:cs="Arial"/>
                <w:sz w:val="22"/>
                <w:szCs w:val="22"/>
              </w:rPr>
            </w:pPr>
            <w:r>
              <w:rPr>
                <w:rFonts w:ascii="Arial" w:eastAsia="Calibri" w:hAnsi="Arial" w:cs="Arial"/>
                <w:sz w:val="22"/>
                <w:szCs w:val="22"/>
              </w:rPr>
              <w:t>Cleaner</w:t>
            </w:r>
          </w:p>
          <w:p>
            <w:pPr>
              <w:rPr>
                <w:rFonts w:ascii="Arial" w:eastAsia="Calibri" w:hAnsi="Arial" w:cs="Arial"/>
                <w:sz w:val="22"/>
                <w:szCs w:val="22"/>
              </w:rPr>
            </w:pPr>
          </w:p>
        </w:tc>
      </w:tr>
      <w:tr>
        <w:tc>
          <w:tcPr>
            <w:tcW w:w="1317" w:type="dxa"/>
            <w:shd w:val="clear" w:color="auto" w:fill="auto"/>
          </w:tcPr>
          <w:p>
            <w:pPr>
              <w:rPr>
                <w:rFonts w:ascii="Arial" w:eastAsia="Calibri" w:hAnsi="Arial" w:cs="Arial"/>
                <w:sz w:val="22"/>
                <w:szCs w:val="22"/>
              </w:rPr>
            </w:pPr>
            <w:r>
              <w:rPr>
                <w:rFonts w:ascii="Arial" w:eastAsia="Calibri" w:hAnsi="Arial" w:cs="Arial"/>
                <w:sz w:val="22"/>
                <w:szCs w:val="22"/>
              </w:rPr>
              <w:t>School</w:t>
            </w:r>
          </w:p>
        </w:tc>
        <w:tc>
          <w:tcPr>
            <w:tcW w:w="7724" w:type="dxa"/>
            <w:shd w:val="clear" w:color="auto" w:fill="auto"/>
          </w:tcPr>
          <w:p>
            <w:pPr>
              <w:rPr>
                <w:rFonts w:ascii="Arial" w:eastAsia="Calibri" w:hAnsi="Arial" w:cs="Arial"/>
                <w:sz w:val="22"/>
                <w:szCs w:val="22"/>
              </w:rPr>
            </w:pPr>
            <w:r>
              <w:rPr>
                <w:rFonts w:ascii="Arial" w:eastAsia="Calibri" w:hAnsi="Arial" w:cs="Arial"/>
                <w:sz w:val="22"/>
                <w:szCs w:val="22"/>
              </w:rPr>
              <w:t>Elliott Hudson College</w:t>
            </w:r>
          </w:p>
          <w:p>
            <w:pPr>
              <w:rPr>
                <w:rFonts w:ascii="Arial" w:eastAsia="Calibri" w:hAnsi="Arial" w:cs="Arial"/>
                <w:sz w:val="22"/>
                <w:szCs w:val="22"/>
              </w:rPr>
            </w:pPr>
          </w:p>
        </w:tc>
      </w:tr>
      <w:tr>
        <w:tc>
          <w:tcPr>
            <w:tcW w:w="1317" w:type="dxa"/>
            <w:shd w:val="clear" w:color="auto" w:fill="auto"/>
          </w:tcPr>
          <w:p>
            <w:pPr>
              <w:rPr>
                <w:rFonts w:ascii="Arial" w:eastAsia="Calibri" w:hAnsi="Arial" w:cs="Arial"/>
                <w:sz w:val="22"/>
                <w:szCs w:val="22"/>
              </w:rPr>
            </w:pPr>
            <w:r>
              <w:rPr>
                <w:rFonts w:ascii="Arial" w:eastAsia="Calibri" w:hAnsi="Arial" w:cs="Arial"/>
                <w:sz w:val="22"/>
                <w:szCs w:val="22"/>
              </w:rPr>
              <w:t>Pay Scale</w:t>
            </w:r>
          </w:p>
        </w:tc>
        <w:tc>
          <w:tcPr>
            <w:tcW w:w="7724" w:type="dxa"/>
            <w:shd w:val="clear" w:color="auto" w:fill="auto"/>
          </w:tcPr>
          <w:p>
            <w:pPr>
              <w:rPr>
                <w:rFonts w:ascii="Arial" w:eastAsia="Calibri" w:hAnsi="Arial" w:cs="Arial"/>
                <w:sz w:val="22"/>
                <w:szCs w:val="22"/>
              </w:rPr>
            </w:pPr>
            <w:r>
              <w:rPr>
                <w:rFonts w:ascii="Arial" w:eastAsia="Calibri" w:hAnsi="Arial" w:cs="Arial"/>
                <w:sz w:val="22"/>
                <w:szCs w:val="22"/>
              </w:rPr>
              <w:t xml:space="preserve">A1:  Grade </w:t>
            </w:r>
          </w:p>
          <w:p>
            <w:pPr>
              <w:rPr>
                <w:rFonts w:ascii="Arial" w:eastAsia="Calibri" w:hAnsi="Arial" w:cs="Arial"/>
                <w:sz w:val="22"/>
                <w:szCs w:val="22"/>
              </w:rPr>
            </w:pPr>
          </w:p>
        </w:tc>
      </w:tr>
      <w:tr>
        <w:tc>
          <w:tcPr>
            <w:tcW w:w="1317" w:type="dxa"/>
            <w:tcBorders>
              <w:bottom w:val="single" w:sz="4" w:space="0" w:color="auto"/>
            </w:tcBorders>
            <w:shd w:val="clear" w:color="auto" w:fill="auto"/>
          </w:tcPr>
          <w:p>
            <w:pPr>
              <w:rPr>
                <w:rFonts w:ascii="Arial" w:eastAsia="Calibri" w:hAnsi="Arial" w:cs="Arial"/>
                <w:sz w:val="22"/>
                <w:szCs w:val="22"/>
              </w:rPr>
            </w:pPr>
            <w:r>
              <w:rPr>
                <w:rFonts w:ascii="Arial" w:eastAsia="Calibri" w:hAnsi="Arial" w:cs="Arial"/>
                <w:sz w:val="22"/>
                <w:szCs w:val="22"/>
              </w:rPr>
              <w:t>Responsible to</w:t>
            </w:r>
          </w:p>
        </w:tc>
        <w:tc>
          <w:tcPr>
            <w:tcW w:w="7724" w:type="dxa"/>
            <w:tcBorders>
              <w:bottom w:val="single" w:sz="4" w:space="0" w:color="auto"/>
            </w:tcBorders>
            <w:shd w:val="clear" w:color="auto" w:fill="auto"/>
          </w:tcPr>
          <w:p>
            <w:pPr>
              <w:rPr>
                <w:rFonts w:ascii="Arial" w:eastAsia="Calibri" w:hAnsi="Arial" w:cs="Arial"/>
                <w:sz w:val="22"/>
                <w:szCs w:val="22"/>
              </w:rPr>
            </w:pPr>
            <w:r>
              <w:rPr>
                <w:rFonts w:ascii="Arial" w:eastAsia="Calibri" w:hAnsi="Arial" w:cs="Arial"/>
                <w:sz w:val="22"/>
                <w:szCs w:val="22"/>
              </w:rPr>
              <w:t>Cleaning Supervisor/Site Manager</w:t>
            </w:r>
          </w:p>
          <w:p>
            <w:pPr>
              <w:rPr>
                <w:rFonts w:ascii="Arial" w:eastAsia="Calibri" w:hAnsi="Arial" w:cs="Arial"/>
                <w:sz w:val="22"/>
                <w:szCs w:val="22"/>
              </w:rPr>
            </w:pPr>
          </w:p>
        </w:tc>
      </w:tr>
      <w:tr>
        <w:tc>
          <w:tcPr>
            <w:tcW w:w="1317" w:type="dxa"/>
            <w:tcBorders>
              <w:bottom w:val="single" w:sz="4" w:space="0" w:color="auto"/>
            </w:tcBorders>
            <w:shd w:val="clear" w:color="auto" w:fill="auto"/>
          </w:tcPr>
          <w:p>
            <w:pPr>
              <w:rPr>
                <w:rFonts w:ascii="Arial" w:eastAsia="Calibri" w:hAnsi="Arial" w:cs="Arial"/>
                <w:sz w:val="22"/>
                <w:szCs w:val="22"/>
              </w:rPr>
            </w:pPr>
            <w:r>
              <w:rPr>
                <w:rFonts w:ascii="Arial" w:eastAsia="Calibri" w:hAnsi="Arial" w:cs="Arial"/>
                <w:sz w:val="22"/>
                <w:szCs w:val="22"/>
              </w:rPr>
              <w:t>Responsible for</w:t>
            </w:r>
          </w:p>
        </w:tc>
        <w:tc>
          <w:tcPr>
            <w:tcW w:w="7724" w:type="dxa"/>
            <w:tcBorders>
              <w:bottom w:val="single" w:sz="4" w:space="0" w:color="auto"/>
            </w:tcBorders>
            <w:shd w:val="clear" w:color="auto" w:fill="auto"/>
          </w:tcPr>
          <w:p>
            <w:pPr>
              <w:rPr>
                <w:rFonts w:ascii="Arial" w:eastAsia="Calibri" w:hAnsi="Arial" w:cs="Arial"/>
                <w:sz w:val="22"/>
                <w:szCs w:val="22"/>
              </w:rPr>
            </w:pPr>
            <w:r>
              <w:rPr>
                <w:rFonts w:ascii="Arial" w:eastAsia="Calibri" w:hAnsi="Arial" w:cs="Arial"/>
                <w:sz w:val="22"/>
                <w:szCs w:val="22"/>
              </w:rPr>
              <w:t>N/A</w:t>
            </w:r>
          </w:p>
          <w:p>
            <w:pPr>
              <w:rPr>
                <w:rFonts w:ascii="Arial" w:eastAsia="Calibri" w:hAnsi="Arial" w:cs="Arial"/>
                <w:sz w:val="22"/>
                <w:szCs w:val="22"/>
              </w:rPr>
            </w:pPr>
          </w:p>
        </w:tc>
      </w:tr>
      <w:tr>
        <w:tc>
          <w:tcPr>
            <w:tcW w:w="1317" w:type="dxa"/>
            <w:tcBorders>
              <w:bottom w:val="single" w:sz="4" w:space="0" w:color="auto"/>
            </w:tcBorders>
            <w:shd w:val="clear" w:color="auto" w:fill="auto"/>
          </w:tcPr>
          <w:p>
            <w:pPr>
              <w:rPr>
                <w:rFonts w:ascii="Arial" w:eastAsia="Calibri" w:hAnsi="Arial" w:cs="Arial"/>
                <w:sz w:val="22"/>
                <w:szCs w:val="22"/>
              </w:rPr>
            </w:pPr>
            <w:r>
              <w:rPr>
                <w:rFonts w:ascii="Arial" w:eastAsia="Calibri" w:hAnsi="Arial" w:cs="Arial"/>
                <w:sz w:val="22"/>
                <w:szCs w:val="22"/>
              </w:rPr>
              <w:t>Hours of Work:</w:t>
            </w:r>
          </w:p>
        </w:tc>
        <w:tc>
          <w:tcPr>
            <w:tcW w:w="7724" w:type="dxa"/>
            <w:tcBorders>
              <w:bottom w:val="single" w:sz="4" w:space="0" w:color="auto"/>
            </w:tcBorders>
            <w:shd w:val="clear" w:color="auto" w:fill="auto"/>
          </w:tcPr>
          <w:p>
            <w:pPr>
              <w:rPr>
                <w:rFonts w:ascii="Arial" w:eastAsia="Calibri" w:hAnsi="Arial" w:cs="Arial"/>
                <w:sz w:val="22"/>
                <w:szCs w:val="22"/>
              </w:rPr>
            </w:pPr>
            <w:r>
              <w:rPr>
                <w:rFonts w:ascii="Arial" w:eastAsia="Calibri" w:hAnsi="Arial" w:cs="Arial"/>
                <w:sz w:val="22"/>
                <w:szCs w:val="22"/>
              </w:rPr>
              <w:t>Monday to Friday - TBC</w:t>
            </w:r>
          </w:p>
          <w:p>
            <w:pPr>
              <w:rPr>
                <w:rFonts w:ascii="Arial" w:eastAsia="Calibri" w:hAnsi="Arial" w:cs="Arial"/>
                <w:sz w:val="22"/>
                <w:szCs w:val="22"/>
              </w:rPr>
            </w:pPr>
            <w:r>
              <w:rPr>
                <w:rFonts w:ascii="Arial" w:eastAsia="Calibri" w:hAnsi="Arial" w:cs="Arial"/>
                <w:sz w:val="22"/>
                <w:szCs w:val="22"/>
              </w:rPr>
              <w:t>Term Time Only</w:t>
            </w:r>
          </w:p>
          <w:p>
            <w:pPr>
              <w:rPr>
                <w:rFonts w:ascii="Arial" w:eastAsia="Calibri" w:hAnsi="Arial" w:cs="Arial"/>
                <w:sz w:val="22"/>
                <w:szCs w:val="22"/>
              </w:rPr>
            </w:pPr>
            <w:r>
              <w:rPr>
                <w:rFonts w:ascii="Arial" w:eastAsia="Calibri" w:hAnsi="Arial" w:cs="Arial"/>
                <w:sz w:val="22"/>
                <w:szCs w:val="22"/>
              </w:rPr>
              <w:t>Flexibility may be required in the event of the college being open out with normal hours.</w:t>
            </w:r>
          </w:p>
        </w:tc>
      </w:tr>
    </w:tbl>
    <w:p/>
    <w:tbl>
      <w:tblPr>
        <w:tblW w:w="9180" w:type="dxa"/>
        <w:tblLayout w:type="fixed"/>
        <w:tblLook w:val="04A0" w:firstRow="1" w:lastRow="0" w:firstColumn="1" w:lastColumn="0" w:noHBand="0" w:noVBand="1"/>
      </w:tblPr>
      <w:tblGrid>
        <w:gridCol w:w="2835"/>
        <w:gridCol w:w="6345"/>
      </w:tblGrid>
      <w:tr>
        <w:tc>
          <w:tcPr>
            <w:tcW w:w="2835" w:type="dxa"/>
            <w:hideMark/>
          </w:tcPr>
          <w:p>
            <w:pPr>
              <w:overflowPunct w:val="0"/>
              <w:autoSpaceDE w:val="0"/>
              <w:autoSpaceDN w:val="0"/>
              <w:adjustRightInd w:val="0"/>
              <w:jc w:val="both"/>
              <w:rPr>
                <w:rFonts w:ascii="Arial" w:hAnsi="Arial" w:cs="Arial"/>
                <w:iCs/>
                <w:sz w:val="22"/>
                <w:szCs w:val="22"/>
              </w:rPr>
            </w:pPr>
            <w:r>
              <w:rPr>
                <w:rFonts w:ascii="Arial" w:hAnsi="Arial" w:cs="Arial"/>
                <w:b/>
                <w:sz w:val="22"/>
                <w:szCs w:val="22"/>
              </w:rPr>
              <w:t>Main Purpose of Job:</w:t>
            </w:r>
          </w:p>
        </w:tc>
        <w:tc>
          <w:tcPr>
            <w:tcW w:w="6345" w:type="dxa"/>
          </w:tcPr>
          <w:p>
            <w:pPr>
              <w:pStyle w:val="Header"/>
              <w:rPr>
                <w:rFonts w:ascii="Arial" w:hAnsi="Arial" w:cs="Arial"/>
                <w:sz w:val="22"/>
                <w:szCs w:val="22"/>
              </w:rPr>
            </w:pPr>
            <w:r>
              <w:rPr>
                <w:rFonts w:ascii="Arial" w:hAnsi="Arial" w:cs="Arial"/>
                <w:sz w:val="22"/>
                <w:szCs w:val="22"/>
              </w:rPr>
              <w:t xml:space="preserve">To be responsible for maintaining a high level of cleanliness throughout the college building. </w:t>
            </w:r>
          </w:p>
          <w:p>
            <w:pPr>
              <w:overflowPunct w:val="0"/>
              <w:autoSpaceDE w:val="0"/>
              <w:autoSpaceDN w:val="0"/>
              <w:adjustRightInd w:val="0"/>
              <w:jc w:val="both"/>
              <w:rPr>
                <w:rFonts w:ascii="Arial" w:hAnsi="Arial" w:cs="Arial"/>
                <w:b/>
                <w:sz w:val="22"/>
                <w:szCs w:val="22"/>
              </w:rPr>
            </w:pPr>
          </w:p>
        </w:tc>
      </w:tr>
    </w:tbl>
    <w:p>
      <w:pPr>
        <w:pStyle w:val="Header"/>
        <w:rPr>
          <w:rFonts w:ascii="Arial" w:hAnsi="Arial" w:cs="Arial"/>
          <w:b/>
          <w:sz w:val="22"/>
          <w:szCs w:val="22"/>
          <w:u w:val="single"/>
        </w:rPr>
      </w:pPr>
      <w:r>
        <w:rPr>
          <w:rFonts w:ascii="Arial" w:hAnsi="Arial" w:cs="Arial"/>
          <w:b/>
          <w:sz w:val="22"/>
          <w:szCs w:val="22"/>
          <w:u w:val="single"/>
        </w:rPr>
        <w:t xml:space="preserve">Duties and Responsibilities </w:t>
      </w:r>
    </w:p>
    <w:p>
      <w:pPr>
        <w:pStyle w:val="Header"/>
        <w:rPr>
          <w:rFonts w:ascii="Arial" w:hAnsi="Arial" w:cs="Arial"/>
          <w:b/>
          <w:sz w:val="22"/>
          <w:szCs w:val="22"/>
          <w:u w:val="single"/>
        </w:rPr>
      </w:pPr>
    </w:p>
    <w:p>
      <w:pPr>
        <w:pStyle w:val="BodyText"/>
        <w:numPr>
          <w:ilvl w:val="0"/>
          <w:numId w:val="1"/>
        </w:numPr>
        <w:spacing w:after="0"/>
        <w:jc w:val="both"/>
        <w:rPr>
          <w:rFonts w:ascii="Arial" w:hAnsi="Arial" w:cs="Arial"/>
          <w:sz w:val="22"/>
          <w:szCs w:val="22"/>
        </w:rPr>
      </w:pPr>
      <w:r>
        <w:rPr>
          <w:rFonts w:ascii="Arial" w:hAnsi="Arial" w:cs="Arial"/>
          <w:sz w:val="22"/>
          <w:szCs w:val="22"/>
        </w:rPr>
        <w:t>Use of mechanical cleaning equipment i.e. Buffer/Wet Pickup.</w:t>
      </w:r>
    </w:p>
    <w:p>
      <w:pPr>
        <w:numPr>
          <w:ilvl w:val="0"/>
          <w:numId w:val="1"/>
        </w:numPr>
        <w:jc w:val="both"/>
        <w:rPr>
          <w:rFonts w:ascii="Arial" w:hAnsi="Arial" w:cs="Arial"/>
          <w:sz w:val="22"/>
          <w:szCs w:val="22"/>
        </w:rPr>
      </w:pPr>
      <w:r>
        <w:rPr>
          <w:rFonts w:ascii="Arial" w:hAnsi="Arial" w:cs="Arial"/>
          <w:sz w:val="22"/>
          <w:szCs w:val="22"/>
        </w:rPr>
        <w:t>Handling and use of cleaning materials in accordance with recommended procedures.</w:t>
      </w:r>
    </w:p>
    <w:p>
      <w:pPr>
        <w:numPr>
          <w:ilvl w:val="0"/>
          <w:numId w:val="1"/>
        </w:numPr>
        <w:jc w:val="both"/>
        <w:rPr>
          <w:rFonts w:ascii="Arial" w:hAnsi="Arial" w:cs="Arial"/>
          <w:sz w:val="22"/>
          <w:szCs w:val="22"/>
        </w:rPr>
      </w:pPr>
      <w:r>
        <w:rPr>
          <w:rFonts w:ascii="Arial" w:hAnsi="Arial" w:cs="Arial"/>
          <w:sz w:val="22"/>
          <w:szCs w:val="22"/>
        </w:rPr>
        <w:t>Cleaning in all kinds of areas within the school building.</w:t>
      </w:r>
    </w:p>
    <w:p>
      <w:pPr>
        <w:numPr>
          <w:ilvl w:val="0"/>
          <w:numId w:val="1"/>
        </w:numPr>
        <w:jc w:val="both"/>
        <w:rPr>
          <w:rFonts w:ascii="Arial" w:hAnsi="Arial" w:cs="Arial"/>
          <w:sz w:val="22"/>
          <w:szCs w:val="22"/>
        </w:rPr>
      </w:pPr>
      <w:r>
        <w:rPr>
          <w:rFonts w:ascii="Arial" w:hAnsi="Arial" w:cs="Arial"/>
          <w:sz w:val="22"/>
          <w:szCs w:val="22"/>
        </w:rPr>
        <w:t>High level cleaning, using appropriate equipment.</w:t>
      </w:r>
    </w:p>
    <w:p>
      <w:pPr>
        <w:numPr>
          <w:ilvl w:val="0"/>
          <w:numId w:val="1"/>
        </w:numPr>
        <w:jc w:val="both"/>
        <w:rPr>
          <w:rFonts w:ascii="Arial" w:hAnsi="Arial" w:cs="Arial"/>
          <w:sz w:val="22"/>
          <w:szCs w:val="22"/>
        </w:rPr>
      </w:pPr>
      <w:r>
        <w:rPr>
          <w:rFonts w:ascii="Arial" w:hAnsi="Arial" w:cs="Arial"/>
          <w:sz w:val="22"/>
          <w:szCs w:val="22"/>
        </w:rPr>
        <w:t>Undertake special cleaning programmes during school closure or other designated periods in compliance with the specification for the premises.</w:t>
      </w:r>
    </w:p>
    <w:p>
      <w:pPr>
        <w:numPr>
          <w:ilvl w:val="0"/>
          <w:numId w:val="1"/>
        </w:numPr>
        <w:jc w:val="both"/>
        <w:rPr>
          <w:rFonts w:ascii="Arial" w:hAnsi="Arial" w:cs="Arial"/>
          <w:sz w:val="22"/>
          <w:szCs w:val="22"/>
        </w:rPr>
      </w:pPr>
      <w:r>
        <w:rPr>
          <w:rFonts w:ascii="Arial" w:hAnsi="Arial" w:cs="Arial"/>
          <w:sz w:val="22"/>
          <w:szCs w:val="22"/>
        </w:rPr>
        <w:t>Washing of walls, windows, glass.</w:t>
      </w:r>
    </w:p>
    <w:p>
      <w:pPr>
        <w:numPr>
          <w:ilvl w:val="0"/>
          <w:numId w:val="1"/>
        </w:numPr>
        <w:jc w:val="both"/>
        <w:rPr>
          <w:rFonts w:ascii="Arial" w:hAnsi="Arial" w:cs="Arial"/>
          <w:sz w:val="22"/>
          <w:szCs w:val="22"/>
        </w:rPr>
      </w:pPr>
      <w:r>
        <w:rPr>
          <w:rFonts w:ascii="Arial" w:hAnsi="Arial" w:cs="Arial"/>
          <w:sz w:val="22"/>
          <w:szCs w:val="22"/>
        </w:rPr>
        <w:t>Collect and dispose of waste in appropriate manner.  Clean and maintain waste bins.</w:t>
      </w:r>
    </w:p>
    <w:p>
      <w:pPr>
        <w:numPr>
          <w:ilvl w:val="0"/>
          <w:numId w:val="1"/>
        </w:numPr>
        <w:jc w:val="both"/>
        <w:rPr>
          <w:rFonts w:ascii="Arial" w:hAnsi="Arial" w:cs="Arial"/>
          <w:sz w:val="22"/>
          <w:szCs w:val="22"/>
        </w:rPr>
      </w:pPr>
      <w:r>
        <w:rPr>
          <w:rFonts w:ascii="Arial" w:hAnsi="Arial" w:cs="Arial"/>
          <w:sz w:val="22"/>
          <w:szCs w:val="22"/>
        </w:rPr>
        <w:t>Working to the school’s operational specifications and quality assurance work schedules.</w:t>
      </w:r>
    </w:p>
    <w:p>
      <w:pPr>
        <w:numPr>
          <w:ilvl w:val="0"/>
          <w:numId w:val="1"/>
        </w:numPr>
        <w:jc w:val="both"/>
        <w:rPr>
          <w:rFonts w:ascii="Arial" w:hAnsi="Arial" w:cs="Arial"/>
          <w:sz w:val="22"/>
          <w:szCs w:val="22"/>
        </w:rPr>
      </w:pPr>
      <w:r>
        <w:rPr>
          <w:rFonts w:ascii="Arial" w:hAnsi="Arial" w:cs="Arial"/>
          <w:sz w:val="22"/>
          <w:szCs w:val="22"/>
        </w:rPr>
        <w:t>Be able to work as part of a team and act on instructions from senior staff.</w:t>
      </w:r>
    </w:p>
    <w:p>
      <w:pPr>
        <w:numPr>
          <w:ilvl w:val="0"/>
          <w:numId w:val="1"/>
        </w:numPr>
        <w:jc w:val="both"/>
        <w:rPr>
          <w:rFonts w:ascii="Arial" w:hAnsi="Arial" w:cs="Arial"/>
          <w:sz w:val="22"/>
          <w:szCs w:val="22"/>
        </w:rPr>
      </w:pPr>
      <w:r>
        <w:rPr>
          <w:rFonts w:ascii="Arial" w:hAnsi="Arial" w:cs="Arial"/>
          <w:sz w:val="22"/>
          <w:szCs w:val="22"/>
        </w:rPr>
        <w:t>To wear appropriate protective clothing including rubber gloves.</w:t>
      </w:r>
    </w:p>
    <w:p>
      <w:pPr>
        <w:numPr>
          <w:ilvl w:val="0"/>
          <w:numId w:val="1"/>
        </w:numPr>
        <w:jc w:val="both"/>
        <w:rPr>
          <w:rFonts w:ascii="Arial" w:hAnsi="Arial" w:cs="Arial"/>
          <w:sz w:val="22"/>
          <w:szCs w:val="22"/>
        </w:rPr>
      </w:pPr>
      <w:r>
        <w:rPr>
          <w:rFonts w:ascii="Arial" w:hAnsi="Arial" w:cs="Arial"/>
          <w:sz w:val="22"/>
          <w:szCs w:val="22"/>
        </w:rPr>
        <w:t>Attending appropriate training courses/seminars as requested.</w:t>
      </w:r>
    </w:p>
    <w:p>
      <w:pPr>
        <w:rPr>
          <w:rFonts w:ascii="Arial" w:hAnsi="Arial" w:cs="Arial"/>
          <w:b/>
          <w:szCs w:val="22"/>
        </w:rPr>
      </w:pPr>
    </w:p>
    <w:p>
      <w:pPr>
        <w:rPr>
          <w:rFonts w:ascii="Arial" w:hAnsi="Arial" w:cs="Arial"/>
          <w:sz w:val="22"/>
          <w:szCs w:val="22"/>
        </w:rPr>
      </w:pPr>
      <w:r>
        <w:rPr>
          <w:rFonts w:ascii="Arial" w:hAnsi="Arial" w:cs="Arial"/>
          <w:sz w:val="22"/>
          <w:szCs w:val="22"/>
        </w:rPr>
        <w:t>Special Conditions of Service:</w:t>
      </w:r>
    </w:p>
    <w:p>
      <w:pPr>
        <w:pStyle w:val="ListParagraph"/>
        <w:numPr>
          <w:ilvl w:val="0"/>
          <w:numId w:val="2"/>
        </w:numPr>
        <w:spacing w:after="200" w:line="276" w:lineRule="auto"/>
        <w:contextualSpacing/>
        <w:rPr>
          <w:rFonts w:ascii="Arial" w:hAnsi="Arial" w:cs="Arial"/>
          <w:sz w:val="22"/>
          <w:szCs w:val="22"/>
        </w:rPr>
      </w:pPr>
      <w:r>
        <w:rPr>
          <w:rFonts w:ascii="Arial" w:hAnsi="Arial" w:cs="Arial"/>
          <w:sz w:val="22"/>
          <w:szCs w:val="22"/>
        </w:rPr>
        <w:t xml:space="preserve">The post is subject to the successful completion of a six month probationary period. </w:t>
      </w:r>
    </w:p>
    <w:p>
      <w:pPr>
        <w:pStyle w:val="ListParagraph"/>
        <w:numPr>
          <w:ilvl w:val="0"/>
          <w:numId w:val="2"/>
        </w:numPr>
        <w:spacing w:after="200" w:line="276" w:lineRule="auto"/>
        <w:contextualSpacing/>
        <w:rPr>
          <w:rFonts w:cs="Arial"/>
          <w:i/>
          <w:sz w:val="22"/>
          <w:szCs w:val="22"/>
        </w:rPr>
      </w:pPr>
      <w:r>
        <w:rPr>
          <w:rFonts w:ascii="Arial" w:hAnsi="Arial" w:cs="Arial"/>
          <w:sz w:val="22"/>
          <w:szCs w:val="22"/>
        </w:rPr>
        <w:t>There may be a need to work outside of “school hours” and off “school premises” as required by the college.</w:t>
      </w:r>
    </w:p>
    <w:p>
      <w:pPr>
        <w:pStyle w:val="ListParagraph"/>
        <w:numPr>
          <w:ilvl w:val="0"/>
          <w:numId w:val="2"/>
        </w:numPr>
        <w:spacing w:after="200" w:line="276" w:lineRule="auto"/>
        <w:contextualSpacing/>
        <w:rPr>
          <w:rFonts w:cs="Arial"/>
          <w:i/>
          <w:sz w:val="22"/>
          <w:szCs w:val="22"/>
        </w:rPr>
      </w:pPr>
      <w:r>
        <w:rPr>
          <w:rFonts w:ascii="Arial" w:hAnsi="Arial" w:cs="Arial"/>
          <w:sz w:val="22"/>
          <w:szCs w:val="22"/>
        </w:rPr>
        <w:t>Elliott Hudson College enforces a strict no smoking policy on the college grounds.</w:t>
      </w:r>
      <w:r>
        <w:rPr>
          <w:rFonts w:cs="Arial"/>
          <w:i/>
          <w:sz w:val="22"/>
          <w:szCs w:val="22"/>
        </w:rPr>
        <w:t xml:space="preserve"> </w:t>
      </w:r>
    </w:p>
    <w:p>
      <w:pPr>
        <w:pStyle w:val="ListParagraph"/>
        <w:ind w:left="360"/>
        <w:rPr>
          <w:rFonts w:cs="Arial"/>
          <w:i/>
          <w:sz w:val="22"/>
          <w:szCs w:val="22"/>
        </w:rPr>
      </w:pPr>
    </w:p>
    <w:p>
      <w:pPr>
        <w:pStyle w:val="ListParagraph"/>
        <w:ind w:left="360"/>
        <w:rPr>
          <w:rFonts w:ascii="Arial" w:hAnsi="Arial" w:cs="Arial"/>
          <w:i/>
          <w:sz w:val="22"/>
          <w:szCs w:val="22"/>
        </w:rPr>
      </w:pPr>
      <w:r>
        <w:rPr>
          <w:rFonts w:ascii="Arial" w:hAnsi="Arial" w:cs="Arial"/>
          <w:i/>
          <w:sz w:val="22"/>
          <w:szCs w:val="22"/>
        </w:rPr>
        <w:t xml:space="preserve">Elliott Hudson College is committed to safeguarding and promoting the wellbeing of all children and we expect our staff and volunteers to share this commitment. The successful candidate will be subject to a Disclosure Barring Service Check (formally Criminal Records Bureau Disclosure). </w:t>
      </w:r>
    </w:p>
    <w:p>
      <w:pPr>
        <w:pStyle w:val="ListParagraph"/>
        <w:ind w:left="360"/>
        <w:rPr>
          <w:rFonts w:ascii="Arial" w:hAnsi="Arial" w:cs="Arial"/>
          <w:i/>
          <w:sz w:val="22"/>
          <w:szCs w:val="22"/>
        </w:rPr>
      </w:pPr>
    </w:p>
    <w:p>
      <w:pPr>
        <w:pStyle w:val="ListParagraph"/>
        <w:ind w:left="360"/>
        <w:rPr>
          <w:rFonts w:ascii="Arial" w:hAnsi="Arial" w:cs="Arial"/>
          <w:i/>
          <w:sz w:val="22"/>
          <w:szCs w:val="22"/>
        </w:rPr>
      </w:pPr>
      <w:r>
        <w:rPr>
          <w:rFonts w:ascii="Arial" w:hAnsi="Arial" w:cs="Arial"/>
          <w:i/>
          <w:sz w:val="22"/>
          <w:szCs w:val="22"/>
        </w:rPr>
        <w:t xml:space="preserve">We promote diversity and aim to establish a workforce which reflects the population of Leeds.  </w:t>
      </w:r>
    </w:p>
    <w:p>
      <w:pPr>
        <w:jc w:val="both"/>
        <w:rPr>
          <w:rFonts w:ascii="Arial" w:hAnsi="Arial" w:cs="Arial"/>
          <w:sz w:val="22"/>
          <w:szCs w:val="22"/>
        </w:rPr>
      </w:pPr>
    </w:p>
    <w:sectPr>
      <w:headerReference w:type="default" r:id="rId7"/>
      <w:pgSz w:w="11904" w:h="16834"/>
      <w:pgMar w:top="340" w:right="1797" w:bottom="624" w:left="1797" w:header="709" w:footer="709" w:gutter="0"/>
      <w:pgBorders w:offsetFrom="page">
        <w:top w:val="single" w:sz="24" w:space="24" w:color="004980"/>
        <w:left w:val="single" w:sz="24" w:space="24" w:color="004980"/>
        <w:bottom w:val="single" w:sz="24" w:space="24" w:color="004980"/>
        <w:right w:val="single" w:sz="24" w:space="24" w:color="00498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r>
      <w:rPr>
        <w:noProof/>
        <w:lang w:eastAsia="en-GB"/>
      </w:rPr>
      <w:drawing>
        <wp:inline distT="0" distB="0" distL="0" distR="0">
          <wp:extent cx="874664" cy="371475"/>
          <wp:effectExtent l="0" t="0" r="1905" b="0"/>
          <wp:docPr id="2" name="Picture 2" descr="X:\Stationery\EHC_WebLogos-8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tionery\EHC_WebLogos-85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711" cy="3770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B331B"/>
    <w:multiLevelType w:val="multilevel"/>
    <w:tmpl w:val="385C69EA"/>
    <w:lvl w:ilvl="0">
      <w:start w:val="1"/>
      <w:numFmt w:val="decimal"/>
      <w:lvlText w:val="%1."/>
      <w:lvlJc w:val="left"/>
      <w:pPr>
        <w:tabs>
          <w:tab w:val="num" w:pos="720"/>
        </w:tabs>
        <w:ind w:left="720" w:hanging="72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AE63FD7-C104-4D0B-9CEA-EFA75FFC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Cambria" w:eastAsia="Times New Roman" w:hAnsi="Cambria" w:cs="Times New Roman"/>
      <w:b/>
      <w:bCs/>
      <w:i/>
      <w:iCs/>
      <w:sz w:val="28"/>
      <w:szCs w:val="28"/>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3AD930B6.dotm</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Dunn</dc:creator>
  <cp:keywords/>
  <dc:description/>
  <cp:lastModifiedBy>Linda Dunn</cp:lastModifiedBy>
  <cp:revision>2</cp:revision>
  <cp:lastPrinted>2016-11-02T10:39:00Z</cp:lastPrinted>
  <dcterms:created xsi:type="dcterms:W3CDTF">2018-09-11T14:26:00Z</dcterms:created>
  <dcterms:modified xsi:type="dcterms:W3CDTF">2018-09-11T14:26:00Z</dcterms:modified>
</cp:coreProperties>
</file>