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9622C" w:rsidRDefault="001040D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THE ROYAL BOROUGH OF </w:t>
      </w:r>
      <w:smartTag w:uri="urn:schemas-microsoft-com:office:smarttags" w:element="City">
        <w:r>
          <w:rPr>
            <w:rFonts w:ascii="Arial" w:hAnsi="Arial" w:cs="Arial"/>
            <w:b/>
            <w:szCs w:val="24"/>
            <w:u w:val="single"/>
          </w:rPr>
          <w:t>KINGSTON</w:t>
        </w:r>
      </w:smartTag>
      <w:r>
        <w:rPr>
          <w:rFonts w:ascii="Arial" w:hAnsi="Arial" w:cs="Arial"/>
          <w:b/>
          <w:szCs w:val="24"/>
          <w:u w:val="single"/>
        </w:rPr>
        <w:t xml:space="preserve"> UPON </w:t>
      </w:r>
      <w:smartTag w:uri="urn:schemas-microsoft-com:office:smarttags" w:element="place">
        <w:r>
          <w:rPr>
            <w:rFonts w:ascii="Arial" w:hAnsi="Arial" w:cs="Arial"/>
            <w:b/>
            <w:szCs w:val="24"/>
            <w:u w:val="single"/>
          </w:rPr>
          <w:t>THAMES</w:t>
        </w:r>
      </w:smartTag>
    </w:p>
    <w:p w:rsidR="0029622C" w:rsidRDefault="001040D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DIRECTORATE OF EDUCATION</w:t>
      </w:r>
    </w:p>
    <w:p w:rsidR="0029622C" w:rsidRDefault="001040D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JOB DESCRIPTION</w:t>
      </w:r>
    </w:p>
    <w:p w:rsidR="0029622C" w:rsidRDefault="001040DE">
      <w:pPr>
        <w:ind w:right="-5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Department: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Learning &amp; Children’s Services   </w:t>
      </w:r>
      <w:r>
        <w:rPr>
          <w:rFonts w:ascii="Arial" w:hAnsi="Arial" w:cs="Arial"/>
          <w:b/>
          <w:szCs w:val="24"/>
        </w:rPr>
        <w:t>Job Title:</w:t>
      </w:r>
      <w:r w:rsidR="00FF2616">
        <w:rPr>
          <w:rFonts w:ascii="Arial" w:hAnsi="Arial" w:cs="Arial"/>
          <w:szCs w:val="24"/>
        </w:rPr>
        <w:t xml:space="preserve"> Teaching Assistant 32 - 36 hrs (negotiable)</w:t>
      </w:r>
    </w:p>
    <w:p w:rsidR="0029622C" w:rsidRDefault="001040DE">
      <w:pPr>
        <w:ind w:right="-5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Section: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Malden Oaks Pupil Referral Unit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9622C" w:rsidRDefault="001040D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Scale: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Grade C or D dependent on experience                      </w:t>
      </w:r>
      <w:r>
        <w:rPr>
          <w:rFonts w:ascii="Arial" w:hAnsi="Arial" w:cs="Arial"/>
          <w:b/>
          <w:szCs w:val="24"/>
        </w:rPr>
        <w:t>Post No:</w:t>
      </w:r>
    </w:p>
    <w:p w:rsidR="0029622C" w:rsidRDefault="001040D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   RESPONSIBLE TO:</w:t>
      </w:r>
    </w:p>
    <w:p w:rsidR="0029622C" w:rsidRDefault="001040DE">
      <w:pPr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36B58">
        <w:rPr>
          <w:rFonts w:ascii="Arial" w:hAnsi="Arial" w:cs="Arial"/>
          <w:szCs w:val="24"/>
        </w:rPr>
        <w:t xml:space="preserve">KS3 Lead teacher, Deputy </w:t>
      </w:r>
      <w:r w:rsidR="00F05EE7">
        <w:rPr>
          <w:rFonts w:ascii="Arial" w:hAnsi="Arial" w:cs="Arial"/>
          <w:szCs w:val="24"/>
        </w:rPr>
        <w:t>Head teacher</w:t>
      </w:r>
      <w:r w:rsidR="00536B5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</w:t>
      </w:r>
      <w:r w:rsidR="00F05EE7">
        <w:rPr>
          <w:rFonts w:ascii="Arial" w:hAnsi="Arial" w:cs="Arial"/>
          <w:szCs w:val="24"/>
        </w:rPr>
        <w:t>Head teacher</w:t>
      </w:r>
      <w:r>
        <w:rPr>
          <w:rFonts w:ascii="Arial" w:hAnsi="Arial" w:cs="Arial"/>
          <w:szCs w:val="24"/>
        </w:rPr>
        <w:t xml:space="preserve"> </w:t>
      </w:r>
    </w:p>
    <w:p w:rsidR="0029622C" w:rsidRDefault="001040DE">
      <w:pPr>
        <w:ind w:left="270" w:hanging="27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   RESPONSIBLE FOR:</w:t>
      </w:r>
    </w:p>
    <w:p w:rsidR="0029622C" w:rsidRDefault="001040D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>
        <w:rPr>
          <w:rFonts w:ascii="Arial" w:hAnsi="Arial" w:cs="Arial"/>
          <w:szCs w:val="24"/>
        </w:rPr>
        <w:t>The students in your charge</w:t>
      </w:r>
    </w:p>
    <w:p w:rsidR="0029622C" w:rsidRDefault="001040DE">
      <w:pPr>
        <w:ind w:left="270" w:hanging="27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   IMPORTANT FUNCTIONAL RELATIONSHIPS</w:t>
      </w:r>
    </w:p>
    <w:p w:rsidR="0029622C" w:rsidRDefault="001040DE">
      <w:pPr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Students, paren</w:t>
      </w:r>
      <w:r>
        <w:rPr>
          <w:rFonts w:ascii="Arial" w:hAnsi="Arial" w:cs="Arial"/>
          <w:szCs w:val="24"/>
        </w:rPr>
        <w:t>ts/carers, teacher colleagues and support staff colleagues.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9622C" w:rsidRDefault="001040DE">
      <w:pPr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Mainstream schools, Educational Welfare Officers, School nurses, Educational Psychologists, </w:t>
      </w:r>
    </w:p>
    <w:p w:rsidR="0029622C" w:rsidRDefault="001040DE">
      <w:pPr>
        <w:ind w:left="270" w:hanging="27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   IMPORTANT EXTERNAL RELATIONSHIPS</w:t>
      </w:r>
    </w:p>
    <w:p w:rsidR="0029622C" w:rsidRDefault="001040DE">
      <w:pPr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Children and Family Services, Youth Workers, Fur</w:t>
      </w:r>
      <w:r>
        <w:rPr>
          <w:rFonts w:ascii="Arial" w:hAnsi="Arial" w:cs="Arial"/>
          <w:szCs w:val="24"/>
        </w:rPr>
        <w:t>ther Education College Staff, Members of Voluntary Agencies, Youth Offending Service, Employers and parents, School’s vocational service.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PURPOSE OF JOB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SUPPORTING &amp; DELIVERING A VOCATIONAL CURRICULUM</w:t>
      </w: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under the guidance of the KS3 Lead Teacher</w:t>
      </w:r>
      <w:r>
        <w:rPr>
          <w:rFonts w:ascii="Arial" w:hAnsi="Arial" w:cs="Arial"/>
        </w:rPr>
        <w:t xml:space="preserve"> and within an agreed system of supervision, to support students’ access to the KS3 </w:t>
      </w:r>
      <w:r w:rsidR="00CB49F6">
        <w:rPr>
          <w:rFonts w:ascii="Arial" w:hAnsi="Arial" w:cs="Arial"/>
        </w:rPr>
        <w:t>Curriculum</w:t>
      </w:r>
      <w:r>
        <w:rPr>
          <w:rFonts w:ascii="Arial" w:hAnsi="Arial" w:cs="Arial"/>
        </w:rPr>
        <w:t>. The KS3 Curriculum includes core academic subjects, as well as practical options – DT, PE and other off-site</w:t>
      </w:r>
      <w:r>
        <w:rPr>
          <w:rFonts w:ascii="Arial" w:hAnsi="Arial" w:cs="Arial"/>
        </w:rPr>
        <w:t xml:space="preserve"> activities. 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1040D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MAIN RESPONSIBILITIES OF JOB</w:t>
      </w:r>
    </w:p>
    <w:p w:rsidR="0029622C" w:rsidRDefault="001040D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 Generic responsibilities for all Teaching Assistants: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1a. SUPPORT FOR STUDENTS – LEARNING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 productive working relationships with students, acting as a role model and setting high expectations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the inclusion and acceptance of all students within the school.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feedback to students in relation to progress and achievement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1b. SUPPORT FOR STUDENTS – PASTORAL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pastoral support to students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 in the assessment of stud</w:t>
      </w:r>
      <w:r>
        <w:rPr>
          <w:rFonts w:ascii="Arial" w:hAnsi="Arial" w:cs="Arial"/>
          <w:bCs/>
        </w:rPr>
        <w:t>ents to determine those in need of particular help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Provide information and advice to enable students to make choices about their own learning/behaviour/attendance and provide feedback to students in relation to progress, achievement, behaviour, attendance</w:t>
      </w:r>
      <w:r>
        <w:rPr>
          <w:rFonts w:ascii="Arial" w:hAnsi="Arial" w:cs="Arial"/>
          <w:bCs/>
        </w:rPr>
        <w:t xml:space="preserve"> etc.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2a SUPPORT FOR THE TEACHER – LEARNING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responsible for keeping and updating records as agreed with the Deputy Headteacher, contributing to reviews of systems/records as requested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Promote positive values, attitudes and good student behaviour, </w:t>
      </w:r>
      <w:r>
        <w:rPr>
          <w:rFonts w:ascii="Arial" w:hAnsi="Arial" w:cs="Arial"/>
          <w:bCs/>
        </w:rPr>
        <w:t>dealing promptly with conflict and incidents in line with established policy and encourage students to take responsibility for their own behaviour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Administer and assess routine tests and invigilate exams/tests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2b SUPPORT FOR TEACHERS – PASTORAL 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Liaise </w:t>
      </w:r>
      <w:r>
        <w:rPr>
          <w:rFonts w:ascii="Arial" w:hAnsi="Arial" w:cs="Arial"/>
          <w:bCs/>
        </w:rPr>
        <w:t>with mainstream schools and other relevant bodies to gather student information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 students’ access to learning using appropriate strategies, resources etc.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with other staff in planning, evaluating and adjusting learning activities as appropria</w:t>
      </w:r>
      <w:r>
        <w:rPr>
          <w:rFonts w:ascii="Arial" w:hAnsi="Arial" w:cs="Arial"/>
          <w:bCs/>
        </w:rPr>
        <w:t>te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responsible for keeping and updating records as agreed with other staff, contributing to reviews of systems/records as requested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 in the development and implementation of appropriate behaviour management strategies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Establish constructive rel</w:t>
      </w:r>
      <w:r>
        <w:rPr>
          <w:rFonts w:ascii="Arial" w:hAnsi="Arial" w:cs="Arial"/>
          <w:bCs/>
        </w:rPr>
        <w:t>ationships with parents/carers, exchanging information, facilitating their support for their child’s attendance, access and learning and supporting home to school and community links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SUPPORT FOR THE CURRICULUM – LEARNING &amp; PASTORAL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Implement agreed </w:t>
      </w:r>
      <w:r>
        <w:rPr>
          <w:rFonts w:ascii="Arial" w:hAnsi="Arial" w:cs="Arial"/>
          <w:bCs/>
        </w:rPr>
        <w:t>learning activities/teaching programmes, adjusting activities according to student responses/needs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Help students to access learning activities through specialist support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Determine the need for, prepare and use specialist equipment, plans and resources to</w:t>
      </w:r>
      <w:r>
        <w:rPr>
          <w:rFonts w:ascii="Arial" w:hAnsi="Arial" w:cs="Arial"/>
          <w:bCs/>
        </w:rPr>
        <w:t xml:space="preserve"> support students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SUPPORT FOR THE SCHOOL – LEARNING &amp; PASTORAL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aware of and comply with policies and procedures relating to child protection, health, safety and security, confidentiality and data protection, reporting all concerns to an </w:t>
      </w:r>
      <w:r>
        <w:rPr>
          <w:rFonts w:ascii="Arial" w:hAnsi="Arial" w:cs="Arial"/>
        </w:rPr>
        <w:t>appropriate person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aware of and support difference and ensure all students have equal access to opportunities to learn and develop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to the overall ethos/work/aims of the school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Establish constructive relationships and communicate with other</w:t>
      </w:r>
      <w:r>
        <w:rPr>
          <w:rFonts w:ascii="Arial" w:hAnsi="Arial" w:cs="Arial"/>
          <w:bCs/>
        </w:rPr>
        <w:t xml:space="preserve"> agencies/professionals, to support achievement and progress of students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Attend and participate in regular meetings, trainings and other learning activities as required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Recognise own strengths and areas of expertise and use these to advise and support ot</w:t>
      </w:r>
      <w:r>
        <w:rPr>
          <w:rFonts w:ascii="Arial" w:hAnsi="Arial" w:cs="Arial"/>
          <w:bCs/>
        </w:rPr>
        <w:t>hers</w:t>
      </w:r>
    </w:p>
    <w:p w:rsidR="001040DE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B Specific duties for the post of KS3 Teaching Assistant: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list is not exhaustive and additional tasks may be added in response to students’ individual needs: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9622C" w:rsidRDefault="001040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 students in lessons and at unstructured times, as required by their individua</w:t>
      </w:r>
      <w:r>
        <w:rPr>
          <w:rFonts w:ascii="Arial" w:hAnsi="Arial" w:cs="Arial"/>
          <w:bCs/>
        </w:rPr>
        <w:t>l needs and in consultation with staff. Some students may require intensive support initially and will then need to be supported to engage more independently in the longer-term.</w:t>
      </w:r>
    </w:p>
    <w:p w:rsidR="0029622C" w:rsidRDefault="001040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Undertake travel-training with students who are unable to travel independently</w:t>
      </w:r>
      <w:r>
        <w:rPr>
          <w:rFonts w:ascii="Arial" w:hAnsi="Arial" w:cs="Arial"/>
          <w:bCs/>
        </w:rPr>
        <w:t>.</w:t>
      </w:r>
    </w:p>
    <w:p w:rsidR="0029622C" w:rsidRDefault="001040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Liaise with parents/carers in a timely manner regarding individual arrangements and attendance at off-site venues. </w:t>
      </w:r>
    </w:p>
    <w:p w:rsidR="0029622C" w:rsidRDefault="001040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all necessary referral forms, attendance logs and progress logs.</w:t>
      </w:r>
    </w:p>
    <w:p w:rsidR="0029622C" w:rsidRDefault="001040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a range of resources to encourage good punctuality, attendan</w:t>
      </w:r>
      <w:r>
        <w:rPr>
          <w:rFonts w:ascii="Arial" w:hAnsi="Arial" w:cs="Arial"/>
          <w:bCs/>
        </w:rPr>
        <w:t>ce, communication and appropriate behaviour.</w:t>
      </w:r>
    </w:p>
    <w:p w:rsidR="0029622C" w:rsidRDefault="001040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to the activities programme by leading or supporting an activity of your choice.</w:t>
      </w:r>
    </w:p>
    <w:p w:rsidR="0029622C" w:rsidRDefault="001040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Report any safeguarding concerns on or off-site to a member of the Leadership team immediately. </w:t>
      </w:r>
    </w:p>
    <w:p w:rsidR="0029622C" w:rsidRDefault="001040DE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Accompany students to and/or from off-site activities. These may include</w:t>
      </w:r>
      <w:r>
        <w:rPr>
          <w:rFonts w:ascii="Arial" w:hAnsi="Arial" w:cs="Arial"/>
          <w:bCs/>
        </w:rPr>
        <w:t xml:space="preserve">, Albany Park water sports centre, </w:t>
      </w:r>
      <w:proofErr w:type="spellStart"/>
      <w:r>
        <w:rPr>
          <w:rFonts w:ascii="Arial" w:hAnsi="Arial" w:cs="Arial"/>
          <w:bCs/>
        </w:rPr>
        <w:t>Dickerage</w:t>
      </w:r>
      <w:proofErr w:type="spellEnd"/>
      <w:r>
        <w:rPr>
          <w:rFonts w:ascii="Arial" w:hAnsi="Arial" w:cs="Arial"/>
          <w:bCs/>
        </w:rPr>
        <w:t xml:space="preserve"> Road Youth Centre, Green Corridor </w:t>
      </w:r>
      <w:r>
        <w:rPr>
          <w:rFonts w:ascii="Arial" w:hAnsi="Arial" w:cs="Arial"/>
          <w:bCs/>
        </w:rPr>
        <w:t>White Spider Climbing Wall and Hawker Centr</w:t>
      </w:r>
      <w:r>
        <w:rPr>
          <w:rFonts w:ascii="Arial" w:hAnsi="Arial" w:cs="Arial"/>
          <w:bCs/>
        </w:rPr>
        <w:t>e Gym. Other venues/providers may be added at any time.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working with children of relevant age (10</w:t>
      </w:r>
      <w:r>
        <w:rPr>
          <w:rFonts w:ascii="Arial" w:hAnsi="Arial" w:cs="Arial"/>
        </w:rPr>
        <w:t xml:space="preserve"> – 14years)</w:t>
      </w: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working with students with additional needs (particularly SEMH</w:t>
      </w:r>
      <w:r>
        <w:rPr>
          <w:rFonts w:ascii="Arial" w:hAnsi="Arial" w:cs="Arial"/>
        </w:rPr>
        <w:t>)</w:t>
      </w:r>
    </w:p>
    <w:p w:rsidR="0029622C" w:rsidRDefault="0010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the Vocational Curriculum and</w:t>
      </w:r>
      <w:r>
        <w:rPr>
          <w:rFonts w:ascii="Arial" w:hAnsi="Arial" w:cs="Arial"/>
        </w:rPr>
        <w:t xml:space="preserve"> of working with external providers</w:t>
      </w:r>
    </w:p>
    <w:p w:rsidR="0029622C" w:rsidRDefault="0029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Knowledge/Skills/Qualifications 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 numeracy skills</w:t>
            </w:r>
            <w:bookmarkStart w:id="0" w:name="_GoBack"/>
            <w:bookmarkEnd w:id="0"/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 literacy skills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3 for Teaching Assistants or equivalent qualification or experience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working knowledge of relevant polices/codes of </w:t>
            </w:r>
            <w:r>
              <w:rPr>
                <w:rFonts w:ascii="Arial" w:hAnsi="Arial" w:cs="Arial"/>
              </w:rPr>
              <w:t>practice and awareness of relevant legislation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national curriculum and other relevant learning programmes &amp; strategies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self-evaluate learning needs and actively seek learning opportunities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</w:t>
            </w:r>
            <w:r>
              <w:rPr>
                <w:rFonts w:ascii="Arial" w:hAnsi="Arial" w:cs="Arial"/>
              </w:rPr>
              <w:t>ldren and adults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teaching team, understanding school roles and responsibilities and your own position within these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principles of child development and learning processes and in particular, barriers to l</w:t>
            </w:r>
            <w:r>
              <w:rPr>
                <w:rFonts w:ascii="Arial" w:hAnsi="Arial" w:cs="Arial"/>
              </w:rPr>
              <w:t>earning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plan effective actions for students at risk of disengaging 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22C">
        <w:tc>
          <w:tcPr>
            <w:tcW w:w="9464" w:type="dxa"/>
          </w:tcPr>
          <w:p w:rsidR="0029622C" w:rsidRDefault="00104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understanding of the range of support services/providers</w:t>
            </w:r>
          </w:p>
          <w:p w:rsidR="0029622C" w:rsidRDefault="00296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9622C" w:rsidRDefault="0029622C">
      <w:pPr>
        <w:rPr>
          <w:rFonts w:ascii="Arial" w:hAnsi="Arial" w:cs="Arial"/>
        </w:rPr>
      </w:pPr>
    </w:p>
    <w:p w:rsidR="0029622C" w:rsidRDefault="0029622C"/>
    <w:sectPr w:rsidR="0029622C"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7AA"/>
    <w:multiLevelType w:val="hybridMultilevel"/>
    <w:tmpl w:val="AD4CD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1EF"/>
    <w:multiLevelType w:val="hybridMultilevel"/>
    <w:tmpl w:val="C66A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FFD"/>
    <w:multiLevelType w:val="hybridMultilevel"/>
    <w:tmpl w:val="12DE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52DF"/>
    <w:multiLevelType w:val="hybridMultilevel"/>
    <w:tmpl w:val="7FD0F2EA"/>
    <w:lvl w:ilvl="0" w:tplc="AEDA8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B1819"/>
    <w:multiLevelType w:val="hybridMultilevel"/>
    <w:tmpl w:val="1A6E2F82"/>
    <w:lvl w:ilvl="0" w:tplc="BD2A8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7D3A"/>
    <w:multiLevelType w:val="hybridMultilevel"/>
    <w:tmpl w:val="45C88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2C"/>
    <w:rsid w:val="00006319"/>
    <w:rsid w:val="001040DE"/>
    <w:rsid w:val="0029622C"/>
    <w:rsid w:val="00536B58"/>
    <w:rsid w:val="00B54FD1"/>
    <w:rsid w:val="00CB49F6"/>
    <w:rsid w:val="00D67571"/>
    <w:rsid w:val="00F05EE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 Axbey</cp:lastModifiedBy>
  <cp:revision>9</cp:revision>
  <cp:lastPrinted>2009-11-10T10:07:00Z</cp:lastPrinted>
  <dcterms:created xsi:type="dcterms:W3CDTF">2017-06-06T11:56:00Z</dcterms:created>
  <dcterms:modified xsi:type="dcterms:W3CDTF">2017-06-06T12:01:00Z</dcterms:modified>
</cp:coreProperties>
</file>