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Business Administrator Level 3 Apprentice</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Mary’s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People Business Support Lead</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C">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D">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E">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F">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0">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1">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2">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14">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National Apprentice Rate £9,029-£17,833 per annum (actual)</w:t>
            </w:r>
          </w:p>
          <w:p w:rsidR="00000000" w:rsidDel="00000000" w:rsidP="00000000" w:rsidRDefault="00000000" w:rsidRPr="00000000" w14:paraId="00000015">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see hourly rates below:</w:t>
              <w:tab/>
            </w:r>
          </w:p>
          <w:p w:rsidR="00000000" w:rsidDel="00000000" w:rsidP="00000000" w:rsidRDefault="00000000" w:rsidRPr="00000000" w14:paraId="00000016">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Under 19</w:t>
              <w:tab/>
              <w:t xml:space="preserve">19 to 20</w:t>
              <w:tab/>
              <w:t xml:space="preserve">21 to 22</w:t>
              <w:tab/>
              <w:t xml:space="preserve">23 and over</w:t>
            </w:r>
          </w:p>
          <w:p w:rsidR="00000000" w:rsidDel="00000000" w:rsidP="00000000" w:rsidRDefault="00000000" w:rsidRPr="00000000" w14:paraId="00000017">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1st year</w:t>
              <w:tab/>
              <w:t xml:space="preserve">£4.81</w:t>
              <w:tab/>
              <w:t xml:space="preserve">             £4.81</w:t>
              <w:tab/>
              <w:t xml:space="preserve">           £4.81</w:t>
              <w:tab/>
              <w:t xml:space="preserve">            £4.81</w:t>
            </w:r>
          </w:p>
          <w:p w:rsidR="00000000" w:rsidDel="00000000" w:rsidP="00000000" w:rsidRDefault="00000000" w:rsidRPr="00000000" w14:paraId="00000018">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completed 1st year</w:t>
              <w:tab/>
            </w:r>
          </w:p>
          <w:p w:rsidR="00000000" w:rsidDel="00000000" w:rsidP="00000000" w:rsidRDefault="00000000" w:rsidRPr="00000000" w14:paraId="00000019">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£4.81</w:t>
              <w:tab/>
              <w:t xml:space="preserve">             £6.83</w:t>
              <w:tab/>
              <w:t xml:space="preserve">            £9.18</w:t>
              <w:tab/>
              <w:t xml:space="preserve">            £9.50 </w:t>
            </w:r>
          </w:p>
          <w:p w:rsidR="00000000" w:rsidDel="00000000" w:rsidP="00000000" w:rsidRDefault="00000000" w:rsidRPr="00000000" w14:paraId="0000001A">
            <w:pPr>
              <w:spacing w:after="160"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Fixed-term initially for approximately 21 months from the start date (until </w:t>
            </w:r>
            <w:r w:rsidDel="00000000" w:rsidR="00000000" w:rsidRPr="00000000">
              <w:rPr>
                <w:rFonts w:ascii="Arial" w:cs="Arial" w:eastAsia="Arial" w:hAnsi="Arial"/>
                <w:sz w:val="22"/>
                <w:szCs w:val="22"/>
                <w:rtl w:val="0"/>
              </w:rPr>
              <w:t xml:space="preserve">end of apprenticeship) - 36 hours per week, 52 weeks per year</w:t>
            </w:r>
            <w:r w:rsidDel="00000000" w:rsidR="00000000" w:rsidRPr="00000000">
              <w:rPr>
                <w:rFonts w:ascii="Arial" w:cs="Arial" w:eastAsia="Arial" w:hAnsi="Arial"/>
                <w:sz w:val="22"/>
                <w:szCs w:val="22"/>
                <w:rtl w:val="0"/>
              </w:rPr>
              <w:t xml:space="preserve">. Annual leave to be taken in non-term time.</w:t>
            </w:r>
          </w:p>
          <w:p w:rsidR="00000000" w:rsidDel="00000000" w:rsidP="00000000" w:rsidRDefault="00000000" w:rsidRPr="00000000" w14:paraId="0000001C">
            <w:pPr>
              <w:spacing w:before="3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D">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F">
            <w:pPr>
              <w:spacing w:before="30" w:lineRule="auto"/>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rtl w:val="0"/>
              </w:rPr>
              <w:t xml:space="preserve">Provide administrative support for the delivery of effective business support services in the running of the school.</w:t>
            </w:r>
            <w:r w:rsidDel="00000000" w:rsidR="00000000" w:rsidRPr="00000000">
              <w:rPr>
                <w:rtl w:val="0"/>
              </w:rPr>
            </w:r>
          </w:p>
          <w:p w:rsidR="00000000" w:rsidDel="00000000" w:rsidP="00000000" w:rsidRDefault="00000000" w:rsidRPr="00000000" w14:paraId="00000020">
            <w:pPr>
              <w:spacing w:before="3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1">
      <w:pPr>
        <w:spacing w:before="30" w:lineRule="auto"/>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22">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2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sz w:val="22"/>
                <w:szCs w:val="22"/>
                <w:rtl w:val="0"/>
              </w:rPr>
              <w:t xml:space="preserve">undertake all aspects of general administrative tasks in the support of delivering a business support service to the school, under the direction of the School Business Support Lead</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Providing administrative support for Exams and Admissions as required</w:t>
            </w:r>
            <w:r w:rsidDel="00000000" w:rsidR="00000000" w:rsidRPr="00000000">
              <w:rPr>
                <w:rtl w:val="0"/>
              </w:rPr>
            </w:r>
          </w:p>
          <w:p w:rsidR="00000000" w:rsidDel="00000000" w:rsidP="00000000" w:rsidRDefault="00000000" w:rsidRPr="00000000" w14:paraId="0000002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undertake administrative support to the team, providing cover and additional capacity during busy and peak periods, under the direction of the School Business Support Lead</w:t>
            </w:r>
            <w:r w:rsidDel="00000000" w:rsidR="00000000" w:rsidRPr="00000000">
              <w:rPr>
                <w:rtl w:val="0"/>
              </w:rPr>
            </w:r>
          </w:p>
          <w:p w:rsidR="00000000" w:rsidDel="00000000" w:rsidP="00000000" w:rsidRDefault="00000000" w:rsidRPr="00000000" w14:paraId="00000026">
            <w:pPr>
              <w:widowControl w:val="0"/>
              <w:numPr>
                <w:ilvl w:val="0"/>
                <w:numId w:val="3"/>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Assisting with reprographics tasks, providing support for cover and during busy peak periods</w:t>
            </w:r>
          </w:p>
          <w:p w:rsidR="00000000" w:rsidDel="00000000" w:rsidP="00000000" w:rsidRDefault="00000000" w:rsidRPr="00000000" w14:paraId="0000002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Maintaining manual and computerised records/management information systems</w:t>
            </w:r>
            <w:r w:rsidDel="00000000" w:rsidR="00000000" w:rsidRPr="00000000">
              <w:rPr>
                <w:rtl w:val="0"/>
              </w:rPr>
            </w:r>
          </w:p>
          <w:p w:rsidR="00000000" w:rsidDel="00000000" w:rsidP="00000000" w:rsidRDefault="00000000" w:rsidRPr="00000000" w14:paraId="0000002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operate relevant IT equipment and software packages e.g. Word, Excel, databases and internet</w:t>
            </w:r>
            <w:r w:rsidDel="00000000" w:rsidR="00000000" w:rsidRPr="00000000">
              <w:rPr>
                <w:rtl w:val="0"/>
              </w:rPr>
            </w:r>
          </w:p>
          <w:p w:rsidR="00000000" w:rsidDel="00000000" w:rsidP="00000000" w:rsidRDefault="00000000" w:rsidRPr="00000000" w14:paraId="0000002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Attending and participating in relevant meetings as required</w:t>
            </w:r>
            <w:r w:rsidDel="00000000" w:rsidR="00000000" w:rsidRPr="00000000">
              <w:rPr>
                <w:rtl w:val="0"/>
              </w:rPr>
            </w:r>
          </w:p>
          <w:p w:rsidR="00000000" w:rsidDel="00000000" w:rsidP="00000000" w:rsidRDefault="00000000" w:rsidRPr="00000000" w14:paraId="0000002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Participating in training and other learning activities and performance development as required</w:t>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Whole School Duties</w:t>
            </w:r>
          </w:p>
          <w:p w:rsidR="00000000" w:rsidDel="00000000" w:rsidP="00000000" w:rsidRDefault="00000000" w:rsidRPr="00000000" w14:paraId="0000002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Reception cover as required</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Whole school administration</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Exams administration</w:t>
            </w:r>
            <w:r w:rsidDel="00000000" w:rsidR="00000000" w:rsidRPr="00000000">
              <w:rPr>
                <w:rtl w:val="0"/>
              </w:rPr>
            </w:r>
          </w:p>
          <w:p w:rsidR="00000000" w:rsidDel="00000000" w:rsidP="00000000" w:rsidRDefault="00000000" w:rsidRPr="00000000" w14:paraId="00000031">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before="30"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33">
            <w:pPr>
              <w:spacing w:before="30"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34">
      <w:pPr>
        <w:spacing w:before="30"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35">
            <w:pPr>
              <w:spacing w:before="30"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37">
      <w:pPr>
        <w:spacing w:before="30"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38">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39">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3A">
      <w:pPr>
        <w:spacing w:before="30"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3B">
            <w:pPr>
              <w:spacing w:before="30"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3C">
            <w:pPr>
              <w:pStyle w:val="Heading1"/>
              <w:numPr>
                <w:ilvl w:val="0"/>
                <w:numId w:val="4"/>
              </w:numPr>
              <w:spacing w:before="30"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3D">
            <w:pPr>
              <w:pStyle w:val="Heading1"/>
              <w:numPr>
                <w:ilvl w:val="0"/>
                <w:numId w:val="4"/>
              </w:numPr>
              <w:spacing w:before="30"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before="3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3F">
            <w:pPr>
              <w:pStyle w:val="Heading1"/>
              <w:numPr>
                <w:ilvl w:val="0"/>
                <w:numId w:val="4"/>
              </w:numPr>
              <w:spacing w:before="30"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40">
            <w:pPr>
              <w:pStyle w:val="Heading1"/>
              <w:numPr>
                <w:ilvl w:val="0"/>
                <w:numId w:val="4"/>
              </w:numPr>
              <w:spacing w:before="30"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41">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42">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43">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44">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45">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46">
            <w:pPr>
              <w:spacing w:before="3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47">
      <w:pPr>
        <w:pStyle w:val="Title"/>
        <w:spacing w:before="30" w:lineRule="auto"/>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48">
      <w:pPr>
        <w:pStyle w:val="Title"/>
        <w:spacing w:before="30" w:lineRule="auto"/>
        <w:rPr>
          <w:color w:val="333399"/>
          <w:sz w:val="22"/>
          <w:szCs w:val="22"/>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49">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before="30" w:lineRule="auto"/>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4B">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4C">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4D">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4E">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4F">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50">
            <w:pPr>
              <w:spacing w:before="30"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52">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before="3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54">
            <w:pPr>
              <w:spacing w:before="30" w:line="275"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before="30" w:line="275"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6">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5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5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before="30" w:lineRule="auto"/>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F">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61">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3">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64">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administration in a school environment</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Experience of Data Protection and GDPR processes and requirements</w:t>
            </w:r>
          </w:p>
          <w:p w:rsidR="00000000" w:rsidDel="00000000" w:rsidP="00000000" w:rsidRDefault="00000000" w:rsidRPr="00000000" w14:paraId="0000006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tc>
        <w:tc>
          <w:tcPr>
            <w:shd w:fill="auto" w:val="clear"/>
          </w:tcPr>
          <w:p w:rsidR="00000000" w:rsidDel="00000000" w:rsidP="00000000" w:rsidRDefault="00000000" w:rsidRPr="00000000" w14:paraId="0000006A">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C">
            <w:pPr>
              <w:spacing w:before="30"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E">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1">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7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7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7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Rule="auto"/>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7A">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7B">
            <w:pPr>
              <w:spacing w:before="30"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7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ability to undertake operational and administrative tasks.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10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ability to adapt to both varying tasks and those of a routine nature.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10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ability to absorb information readily and speedily and work under pressure</w:t>
            </w:r>
          </w:p>
          <w:p w:rsidR="00000000" w:rsidDel="00000000" w:rsidP="00000000" w:rsidRDefault="00000000" w:rsidRPr="00000000" w14:paraId="0000008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good team player with good interpersonal skills and the ability to work effectively as part of a growing organisation</w:t>
            </w:r>
          </w:p>
          <w:p w:rsidR="00000000" w:rsidDel="00000000" w:rsidP="00000000" w:rsidRDefault="00000000" w:rsidRPr="00000000" w14:paraId="0000008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87">
            <w:pPr>
              <w:spacing w:before="30"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89">
            <w:pPr>
              <w:spacing w:before="30"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8B">
            <w:pPr>
              <w:spacing w:before="30"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8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use initiative and work independently</w:t>
            </w:r>
          </w:p>
          <w:p w:rsidR="00000000" w:rsidDel="00000000" w:rsidP="00000000" w:rsidRDefault="00000000" w:rsidRPr="00000000" w14:paraId="0000008F">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91">
            <w:pPr>
              <w:spacing w:before="3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2">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4">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9">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E">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1">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4">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6">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8">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Rule="auto"/>
              <w:jc w:val="center"/>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AC">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E">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1">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6">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8">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B">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E">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0">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2">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4">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0C6">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C7">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C8">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C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CA">
      <w:pPr>
        <w:spacing w:before="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B">
      <w:pPr>
        <w:spacing w:before="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C">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CD">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CE">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CF">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D0">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0D1">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before="30" w:lineRule="auto"/>
        <w:rPr>
          <w:rFonts w:ascii="Arial" w:cs="Arial" w:eastAsia="Arial" w:hAnsi="Arial"/>
          <w:sz w:val="22"/>
          <w:szCs w:val="22"/>
        </w:rPr>
      </w:pP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9uOkkv7xJkfnLmWZVGQHjsl8w==">CgMxLjAyCGguZ2pkZ3hzOAByITFWRGc3b0ZFWENXMjZtNGtMTW1rSUoxTGhXV2hWQktBcQ==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