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E5" w:rsidRDefault="00D24AE5">
      <w:pPr>
        <w:pStyle w:val="Title"/>
        <w:rPr>
          <w:sz w:val="20"/>
          <w:szCs w:val="20"/>
        </w:rPr>
      </w:pPr>
    </w:p>
    <w:p w:rsidR="00D24AE5" w:rsidRDefault="0062472D">
      <w:pPr>
        <w:pStyle w:val="Title"/>
        <w:rPr>
          <w:sz w:val="20"/>
          <w:szCs w:val="20"/>
        </w:rPr>
      </w:pPr>
      <w:r>
        <w:rPr>
          <w:sz w:val="20"/>
          <w:szCs w:val="20"/>
        </w:rPr>
        <w:t>Job Description</w:t>
      </w:r>
    </w:p>
    <w:p w:rsidR="00D24AE5" w:rsidRDefault="00D24AE5">
      <w:pPr>
        <w:pStyle w:val="Title"/>
        <w:rPr>
          <w:sz w:val="20"/>
          <w:szCs w:val="20"/>
        </w:rPr>
      </w:pPr>
    </w:p>
    <w:p w:rsidR="00D24AE5" w:rsidRDefault="00D24AE5">
      <w:pPr>
        <w:pStyle w:val="Title"/>
        <w:rPr>
          <w:sz w:val="20"/>
          <w:szCs w:val="20"/>
        </w:rPr>
      </w:pPr>
    </w:p>
    <w:tbl>
      <w:tblPr>
        <w:tblpPr w:leftFromText="180" w:rightFromText="180" w:vertAnchor="page" w:horzAnchor="margin" w:tblpY="1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7370"/>
      </w:tblGrid>
      <w:tr w:rsidR="00D24AE5">
        <w:tc>
          <w:tcPr>
            <w:tcW w:w="1804" w:type="dxa"/>
          </w:tcPr>
          <w:p w:rsidR="00D24AE5" w:rsidRDefault="0062472D">
            <w:pPr>
              <w:rPr>
                <w:b/>
                <w:bCs/>
                <w:sz w:val="20"/>
                <w:szCs w:val="20"/>
              </w:rPr>
            </w:pPr>
            <w:r>
              <w:rPr>
                <w:b/>
                <w:bCs/>
                <w:sz w:val="20"/>
                <w:szCs w:val="20"/>
              </w:rPr>
              <w:t>Post Title:</w:t>
            </w:r>
          </w:p>
        </w:tc>
        <w:tc>
          <w:tcPr>
            <w:tcW w:w="7370" w:type="dxa"/>
          </w:tcPr>
          <w:p w:rsidR="00D24AE5" w:rsidRDefault="0062472D">
            <w:pPr>
              <w:rPr>
                <w:b/>
                <w:bCs/>
                <w:sz w:val="20"/>
                <w:szCs w:val="20"/>
              </w:rPr>
            </w:pPr>
            <w:r>
              <w:rPr>
                <w:b/>
                <w:bCs/>
                <w:sz w:val="20"/>
                <w:szCs w:val="20"/>
              </w:rPr>
              <w:t>Cover Supervisor</w:t>
            </w:r>
          </w:p>
        </w:tc>
      </w:tr>
      <w:tr w:rsidR="00D24AE5">
        <w:tc>
          <w:tcPr>
            <w:tcW w:w="1804" w:type="dxa"/>
          </w:tcPr>
          <w:p w:rsidR="00D24AE5" w:rsidRDefault="00D24AE5">
            <w:pPr>
              <w:rPr>
                <w:b/>
                <w:bCs/>
                <w:sz w:val="20"/>
                <w:szCs w:val="20"/>
              </w:rPr>
            </w:pPr>
          </w:p>
        </w:tc>
        <w:tc>
          <w:tcPr>
            <w:tcW w:w="7370" w:type="dxa"/>
          </w:tcPr>
          <w:p w:rsidR="00D24AE5" w:rsidRDefault="00D24AE5">
            <w:pPr>
              <w:rPr>
                <w:b/>
                <w:bCs/>
                <w:sz w:val="20"/>
                <w:szCs w:val="20"/>
              </w:rPr>
            </w:pPr>
          </w:p>
        </w:tc>
      </w:tr>
      <w:tr w:rsidR="00D24AE5">
        <w:tc>
          <w:tcPr>
            <w:tcW w:w="1804" w:type="dxa"/>
          </w:tcPr>
          <w:p w:rsidR="00D24AE5" w:rsidRDefault="0062472D">
            <w:pPr>
              <w:rPr>
                <w:b/>
                <w:bCs/>
                <w:sz w:val="20"/>
                <w:szCs w:val="20"/>
              </w:rPr>
            </w:pPr>
            <w:r>
              <w:rPr>
                <w:b/>
                <w:bCs/>
                <w:sz w:val="20"/>
                <w:szCs w:val="20"/>
              </w:rPr>
              <w:t>Location:</w:t>
            </w:r>
          </w:p>
        </w:tc>
        <w:tc>
          <w:tcPr>
            <w:tcW w:w="7370" w:type="dxa"/>
          </w:tcPr>
          <w:p w:rsidR="00D24AE5" w:rsidRDefault="0062472D">
            <w:pPr>
              <w:rPr>
                <w:b/>
                <w:bCs/>
                <w:sz w:val="20"/>
                <w:szCs w:val="20"/>
              </w:rPr>
            </w:pPr>
            <w:r>
              <w:rPr>
                <w:b/>
                <w:bCs/>
                <w:sz w:val="20"/>
                <w:szCs w:val="20"/>
              </w:rPr>
              <w:t>The Norwood School</w:t>
            </w:r>
          </w:p>
        </w:tc>
      </w:tr>
      <w:tr w:rsidR="00D24AE5">
        <w:tc>
          <w:tcPr>
            <w:tcW w:w="1804" w:type="dxa"/>
          </w:tcPr>
          <w:p w:rsidR="00D24AE5" w:rsidRDefault="00D24AE5">
            <w:pPr>
              <w:rPr>
                <w:b/>
                <w:bCs/>
                <w:sz w:val="20"/>
                <w:szCs w:val="20"/>
              </w:rPr>
            </w:pPr>
          </w:p>
        </w:tc>
        <w:tc>
          <w:tcPr>
            <w:tcW w:w="7370" w:type="dxa"/>
          </w:tcPr>
          <w:p w:rsidR="00D24AE5" w:rsidRDefault="00D24AE5">
            <w:pPr>
              <w:ind w:left="360"/>
              <w:rPr>
                <w:sz w:val="20"/>
                <w:szCs w:val="20"/>
              </w:rPr>
            </w:pPr>
          </w:p>
        </w:tc>
      </w:tr>
      <w:tr w:rsidR="00D24AE5">
        <w:tc>
          <w:tcPr>
            <w:tcW w:w="1804" w:type="dxa"/>
          </w:tcPr>
          <w:p w:rsidR="00D24AE5" w:rsidRDefault="0062472D">
            <w:pPr>
              <w:rPr>
                <w:b/>
                <w:bCs/>
                <w:sz w:val="20"/>
                <w:szCs w:val="20"/>
              </w:rPr>
            </w:pPr>
            <w:r>
              <w:rPr>
                <w:b/>
                <w:bCs/>
                <w:sz w:val="20"/>
                <w:szCs w:val="20"/>
              </w:rPr>
              <w:t>Purpose:</w:t>
            </w:r>
          </w:p>
        </w:tc>
        <w:tc>
          <w:tcPr>
            <w:tcW w:w="7370" w:type="dxa"/>
          </w:tcPr>
          <w:p w:rsidR="00D24AE5" w:rsidRDefault="0062472D">
            <w:pPr>
              <w:numPr>
                <w:ilvl w:val="0"/>
                <w:numId w:val="5"/>
              </w:numPr>
              <w:rPr>
                <w:sz w:val="20"/>
                <w:szCs w:val="20"/>
              </w:rPr>
            </w:pPr>
            <w:r>
              <w:rPr>
                <w:sz w:val="20"/>
                <w:szCs w:val="20"/>
              </w:rPr>
              <w:t xml:space="preserve">To teach lessons across all key stages and subjects during short term absence of teachers. The cover supervisor will ensure the good behaviour of students and make sure the students are engaged in the learning activity. </w:t>
            </w:r>
          </w:p>
          <w:p w:rsidR="00D24AE5" w:rsidRDefault="0062472D">
            <w:pPr>
              <w:numPr>
                <w:ilvl w:val="0"/>
                <w:numId w:val="5"/>
              </w:numPr>
              <w:rPr>
                <w:sz w:val="20"/>
                <w:szCs w:val="20"/>
              </w:rPr>
            </w:pPr>
            <w:r>
              <w:rPr>
                <w:sz w:val="20"/>
                <w:szCs w:val="20"/>
              </w:rPr>
              <w:t xml:space="preserve">The post holder will be required to respond to students’ general questions and provide feedback to the class teacher on issues such as behaviour and attitude to learning, but will not be expected to undertake any planning, preparation or assessment of students’ progress and development. </w:t>
            </w:r>
          </w:p>
          <w:p w:rsidR="00D24AE5" w:rsidRDefault="0062472D">
            <w:pPr>
              <w:numPr>
                <w:ilvl w:val="0"/>
                <w:numId w:val="5"/>
              </w:numPr>
              <w:rPr>
                <w:sz w:val="20"/>
                <w:szCs w:val="20"/>
              </w:rPr>
            </w:pPr>
            <w:r>
              <w:rPr>
                <w:sz w:val="20"/>
                <w:szCs w:val="20"/>
              </w:rPr>
              <w:t xml:space="preserve">Cover supervisors will be subject to general supervision and will act under the professional direction of teachers. </w:t>
            </w:r>
          </w:p>
        </w:tc>
      </w:tr>
      <w:tr w:rsidR="00D24AE5">
        <w:tc>
          <w:tcPr>
            <w:tcW w:w="1804" w:type="dxa"/>
          </w:tcPr>
          <w:p w:rsidR="00D24AE5" w:rsidRDefault="00D24AE5">
            <w:pPr>
              <w:rPr>
                <w:b/>
                <w:bCs/>
                <w:sz w:val="20"/>
                <w:szCs w:val="20"/>
              </w:rPr>
            </w:pPr>
          </w:p>
        </w:tc>
        <w:tc>
          <w:tcPr>
            <w:tcW w:w="7370" w:type="dxa"/>
          </w:tcPr>
          <w:p w:rsidR="00D24AE5" w:rsidRDefault="00D24AE5">
            <w:pPr>
              <w:rPr>
                <w:sz w:val="20"/>
                <w:szCs w:val="20"/>
              </w:rPr>
            </w:pPr>
          </w:p>
        </w:tc>
      </w:tr>
      <w:tr w:rsidR="00D24AE5">
        <w:tc>
          <w:tcPr>
            <w:tcW w:w="1804" w:type="dxa"/>
          </w:tcPr>
          <w:p w:rsidR="00D24AE5" w:rsidRDefault="0062472D">
            <w:pPr>
              <w:rPr>
                <w:b/>
                <w:bCs/>
                <w:sz w:val="20"/>
                <w:szCs w:val="20"/>
              </w:rPr>
            </w:pPr>
            <w:r>
              <w:rPr>
                <w:b/>
                <w:bCs/>
                <w:sz w:val="20"/>
                <w:szCs w:val="20"/>
              </w:rPr>
              <w:t>Reporting to:</w:t>
            </w:r>
          </w:p>
        </w:tc>
        <w:tc>
          <w:tcPr>
            <w:tcW w:w="7370" w:type="dxa"/>
          </w:tcPr>
          <w:p w:rsidR="00D24AE5" w:rsidRDefault="0062472D">
            <w:pPr>
              <w:rPr>
                <w:sz w:val="20"/>
                <w:szCs w:val="20"/>
              </w:rPr>
            </w:pPr>
            <w:r>
              <w:rPr>
                <w:sz w:val="20"/>
                <w:szCs w:val="20"/>
              </w:rPr>
              <w:t xml:space="preserve">The Cover Manager </w:t>
            </w:r>
          </w:p>
        </w:tc>
      </w:tr>
      <w:tr w:rsidR="00D24AE5">
        <w:tc>
          <w:tcPr>
            <w:tcW w:w="1804" w:type="dxa"/>
          </w:tcPr>
          <w:p w:rsidR="00D24AE5" w:rsidRDefault="00D24AE5">
            <w:pPr>
              <w:rPr>
                <w:b/>
                <w:bCs/>
                <w:sz w:val="20"/>
                <w:szCs w:val="20"/>
              </w:rPr>
            </w:pPr>
          </w:p>
        </w:tc>
        <w:tc>
          <w:tcPr>
            <w:tcW w:w="7370" w:type="dxa"/>
          </w:tcPr>
          <w:p w:rsidR="00D24AE5" w:rsidRDefault="00D24AE5">
            <w:pPr>
              <w:rPr>
                <w:sz w:val="20"/>
                <w:szCs w:val="20"/>
              </w:rPr>
            </w:pPr>
          </w:p>
        </w:tc>
      </w:tr>
      <w:tr w:rsidR="00D24AE5">
        <w:tc>
          <w:tcPr>
            <w:tcW w:w="1804" w:type="dxa"/>
          </w:tcPr>
          <w:p w:rsidR="00D24AE5" w:rsidRDefault="0062472D">
            <w:pPr>
              <w:rPr>
                <w:b/>
                <w:bCs/>
                <w:sz w:val="20"/>
                <w:szCs w:val="20"/>
              </w:rPr>
            </w:pPr>
            <w:r>
              <w:rPr>
                <w:b/>
                <w:bCs/>
                <w:sz w:val="20"/>
                <w:szCs w:val="20"/>
              </w:rPr>
              <w:t>Liaising with:</w:t>
            </w:r>
          </w:p>
        </w:tc>
        <w:tc>
          <w:tcPr>
            <w:tcW w:w="7370" w:type="dxa"/>
          </w:tcPr>
          <w:p w:rsidR="00D24AE5" w:rsidRDefault="0062472D">
            <w:pPr>
              <w:rPr>
                <w:sz w:val="20"/>
              </w:rPr>
            </w:pPr>
            <w:r>
              <w:rPr>
                <w:sz w:val="20"/>
                <w:szCs w:val="20"/>
              </w:rPr>
              <w:t xml:space="preserve">The Cover Manager or the SLT in the absence of the Cover Manager, </w:t>
            </w:r>
            <w:r>
              <w:rPr>
                <w:sz w:val="20"/>
              </w:rPr>
              <w:t>Head of Department/Faculty with regard to curriculum matters, Head of Year with regard to pastoral care of pupils</w:t>
            </w:r>
          </w:p>
        </w:tc>
      </w:tr>
      <w:tr w:rsidR="00D24AE5">
        <w:tc>
          <w:tcPr>
            <w:tcW w:w="1804" w:type="dxa"/>
          </w:tcPr>
          <w:p w:rsidR="00D24AE5" w:rsidRDefault="00D24AE5">
            <w:pPr>
              <w:rPr>
                <w:b/>
                <w:bCs/>
                <w:sz w:val="20"/>
                <w:szCs w:val="20"/>
              </w:rPr>
            </w:pPr>
          </w:p>
        </w:tc>
        <w:tc>
          <w:tcPr>
            <w:tcW w:w="7370" w:type="dxa"/>
          </w:tcPr>
          <w:p w:rsidR="00D24AE5" w:rsidRDefault="00D24AE5">
            <w:pPr>
              <w:rPr>
                <w:sz w:val="20"/>
                <w:szCs w:val="20"/>
              </w:rPr>
            </w:pPr>
          </w:p>
        </w:tc>
      </w:tr>
      <w:tr w:rsidR="00D24AE5">
        <w:tc>
          <w:tcPr>
            <w:tcW w:w="1804" w:type="dxa"/>
          </w:tcPr>
          <w:p w:rsidR="00D24AE5" w:rsidRDefault="0062472D">
            <w:pPr>
              <w:rPr>
                <w:b/>
                <w:bCs/>
                <w:sz w:val="20"/>
                <w:szCs w:val="20"/>
              </w:rPr>
            </w:pPr>
            <w:r>
              <w:rPr>
                <w:b/>
                <w:bCs/>
                <w:sz w:val="20"/>
                <w:szCs w:val="20"/>
              </w:rPr>
              <w:t xml:space="preserve">Salary </w:t>
            </w:r>
          </w:p>
        </w:tc>
        <w:tc>
          <w:tcPr>
            <w:tcW w:w="7370" w:type="dxa"/>
          </w:tcPr>
          <w:p w:rsidR="00D24AE5" w:rsidRDefault="00603B2E" w:rsidP="0062472D">
            <w:pPr>
              <w:rPr>
                <w:sz w:val="20"/>
              </w:rPr>
            </w:pPr>
            <w:r>
              <w:rPr>
                <w:sz w:val="20"/>
              </w:rPr>
              <w:t>NJC 5 (£29,364 - £30,852</w:t>
            </w:r>
            <w:r w:rsidR="0062472D">
              <w:rPr>
                <w:sz w:val="20"/>
              </w:rPr>
              <w:t xml:space="preserve">) </w:t>
            </w:r>
            <w:r w:rsidR="0062472D" w:rsidRPr="00603B2E">
              <w:rPr>
                <w:b/>
                <w:sz w:val="20"/>
              </w:rPr>
              <w:t>pro rata, per annum</w:t>
            </w:r>
          </w:p>
        </w:tc>
      </w:tr>
      <w:tr w:rsidR="00D24AE5">
        <w:tc>
          <w:tcPr>
            <w:tcW w:w="1804" w:type="dxa"/>
          </w:tcPr>
          <w:p w:rsidR="00D24AE5" w:rsidRDefault="00D24AE5">
            <w:pPr>
              <w:rPr>
                <w:b/>
                <w:bCs/>
                <w:sz w:val="20"/>
                <w:szCs w:val="20"/>
              </w:rPr>
            </w:pPr>
          </w:p>
        </w:tc>
        <w:tc>
          <w:tcPr>
            <w:tcW w:w="7370" w:type="dxa"/>
          </w:tcPr>
          <w:p w:rsidR="00D24AE5" w:rsidRDefault="00D24AE5">
            <w:pPr>
              <w:rPr>
                <w:sz w:val="20"/>
                <w:szCs w:val="20"/>
              </w:rPr>
            </w:pPr>
          </w:p>
        </w:tc>
      </w:tr>
      <w:tr w:rsidR="00D24AE5">
        <w:tc>
          <w:tcPr>
            <w:tcW w:w="1804" w:type="dxa"/>
          </w:tcPr>
          <w:p w:rsidR="00D24AE5" w:rsidRDefault="0062472D">
            <w:pPr>
              <w:rPr>
                <w:b/>
                <w:bCs/>
                <w:sz w:val="20"/>
                <w:szCs w:val="20"/>
              </w:rPr>
            </w:pPr>
            <w:r>
              <w:rPr>
                <w:b/>
                <w:bCs/>
                <w:sz w:val="20"/>
                <w:szCs w:val="20"/>
              </w:rPr>
              <w:t>Hours</w:t>
            </w:r>
          </w:p>
        </w:tc>
        <w:tc>
          <w:tcPr>
            <w:tcW w:w="7370" w:type="dxa"/>
          </w:tcPr>
          <w:p w:rsidR="00D24AE5" w:rsidRDefault="0062472D" w:rsidP="0062472D">
            <w:pPr>
              <w:rPr>
                <w:sz w:val="20"/>
                <w:szCs w:val="20"/>
              </w:rPr>
            </w:pPr>
            <w:r>
              <w:rPr>
                <w:sz w:val="20"/>
                <w:szCs w:val="20"/>
              </w:rPr>
              <w:t>35 hours per week, 39 weeks per year (Term</w:t>
            </w:r>
            <w:bookmarkStart w:id="0" w:name="_GoBack"/>
            <w:bookmarkEnd w:id="0"/>
            <w:r>
              <w:rPr>
                <w:sz w:val="20"/>
                <w:szCs w:val="20"/>
              </w:rPr>
              <w:t xml:space="preserve"> Time Only)</w:t>
            </w:r>
          </w:p>
          <w:p w:rsidR="0062472D" w:rsidRDefault="0062472D" w:rsidP="0062472D">
            <w:pPr>
              <w:rPr>
                <w:sz w:val="20"/>
                <w:szCs w:val="20"/>
              </w:rPr>
            </w:pPr>
            <w:r>
              <w:rPr>
                <w:sz w:val="20"/>
                <w:szCs w:val="20"/>
              </w:rPr>
              <w:t>8:30am – 3:30pm</w:t>
            </w:r>
          </w:p>
        </w:tc>
      </w:tr>
      <w:tr w:rsidR="00D24AE5">
        <w:tc>
          <w:tcPr>
            <w:tcW w:w="1804" w:type="dxa"/>
          </w:tcPr>
          <w:p w:rsidR="00D24AE5" w:rsidRDefault="00D24AE5">
            <w:pPr>
              <w:rPr>
                <w:b/>
                <w:bCs/>
                <w:sz w:val="20"/>
                <w:szCs w:val="20"/>
              </w:rPr>
            </w:pPr>
          </w:p>
        </w:tc>
        <w:tc>
          <w:tcPr>
            <w:tcW w:w="7370" w:type="dxa"/>
          </w:tcPr>
          <w:p w:rsidR="00D24AE5" w:rsidRDefault="00D24AE5" w:rsidP="0062472D">
            <w:pPr>
              <w:ind w:left="720"/>
              <w:rPr>
                <w:sz w:val="20"/>
                <w:szCs w:val="20"/>
              </w:rPr>
            </w:pPr>
          </w:p>
        </w:tc>
      </w:tr>
      <w:tr w:rsidR="00D24AE5">
        <w:tc>
          <w:tcPr>
            <w:tcW w:w="1804" w:type="dxa"/>
          </w:tcPr>
          <w:p w:rsidR="00D24AE5" w:rsidRDefault="0062472D">
            <w:pPr>
              <w:rPr>
                <w:b/>
                <w:bCs/>
                <w:sz w:val="20"/>
                <w:szCs w:val="20"/>
              </w:rPr>
            </w:pPr>
            <w:r>
              <w:rPr>
                <w:b/>
                <w:bCs/>
                <w:sz w:val="20"/>
                <w:szCs w:val="20"/>
              </w:rPr>
              <w:t>Main duties and responsibilities</w:t>
            </w:r>
          </w:p>
        </w:tc>
        <w:tc>
          <w:tcPr>
            <w:tcW w:w="7370" w:type="dxa"/>
          </w:tcPr>
          <w:p w:rsidR="00D24AE5" w:rsidRDefault="0062472D">
            <w:pPr>
              <w:numPr>
                <w:ilvl w:val="0"/>
                <w:numId w:val="8"/>
              </w:numPr>
              <w:rPr>
                <w:sz w:val="20"/>
                <w:szCs w:val="20"/>
              </w:rPr>
            </w:pPr>
            <w:r>
              <w:rPr>
                <w:sz w:val="20"/>
                <w:szCs w:val="20"/>
              </w:rPr>
              <w:t>Set high standards and expectations to ensure good behaviour is maintained</w:t>
            </w:r>
          </w:p>
          <w:p w:rsidR="00D24AE5" w:rsidRDefault="0062472D">
            <w:pPr>
              <w:numPr>
                <w:ilvl w:val="0"/>
                <w:numId w:val="8"/>
              </w:numPr>
              <w:rPr>
                <w:sz w:val="20"/>
                <w:szCs w:val="20"/>
              </w:rPr>
            </w:pPr>
            <w:r>
              <w:rPr>
                <w:sz w:val="20"/>
                <w:szCs w:val="20"/>
              </w:rPr>
              <w:t>Give clear instructions for the lesson provided by the teacher ensuring that learning outcomes are achieved</w:t>
            </w:r>
          </w:p>
          <w:p w:rsidR="00D24AE5" w:rsidRDefault="0062472D">
            <w:pPr>
              <w:numPr>
                <w:ilvl w:val="0"/>
                <w:numId w:val="8"/>
              </w:numPr>
              <w:rPr>
                <w:sz w:val="20"/>
                <w:szCs w:val="20"/>
              </w:rPr>
            </w:pPr>
            <w:r>
              <w:rPr>
                <w:sz w:val="20"/>
                <w:szCs w:val="20"/>
              </w:rPr>
              <w:t>Complete the class register</w:t>
            </w:r>
          </w:p>
          <w:p w:rsidR="00D24AE5" w:rsidRDefault="0062472D">
            <w:pPr>
              <w:numPr>
                <w:ilvl w:val="0"/>
                <w:numId w:val="8"/>
              </w:numPr>
              <w:rPr>
                <w:sz w:val="20"/>
                <w:szCs w:val="20"/>
              </w:rPr>
            </w:pPr>
            <w:r>
              <w:rPr>
                <w:sz w:val="20"/>
                <w:szCs w:val="20"/>
              </w:rPr>
              <w:t>Ensure students sit according to the provided seating plan</w:t>
            </w:r>
          </w:p>
          <w:p w:rsidR="00D24AE5" w:rsidRDefault="0062472D">
            <w:pPr>
              <w:numPr>
                <w:ilvl w:val="0"/>
                <w:numId w:val="8"/>
              </w:numPr>
              <w:rPr>
                <w:sz w:val="20"/>
                <w:szCs w:val="20"/>
              </w:rPr>
            </w:pPr>
            <w:r>
              <w:rPr>
                <w:sz w:val="20"/>
                <w:szCs w:val="20"/>
              </w:rPr>
              <w:t>Monitor and manage the students’ behaviour whilst in the classroom within the guidelines of the schools’ behaviour policy, using behaviour management systems/routines</w:t>
            </w:r>
          </w:p>
          <w:p w:rsidR="00D24AE5" w:rsidRDefault="0062472D">
            <w:pPr>
              <w:numPr>
                <w:ilvl w:val="0"/>
                <w:numId w:val="8"/>
              </w:numPr>
              <w:rPr>
                <w:sz w:val="20"/>
                <w:szCs w:val="20"/>
              </w:rPr>
            </w:pPr>
            <w:r>
              <w:rPr>
                <w:sz w:val="20"/>
                <w:szCs w:val="20"/>
              </w:rPr>
              <w:t>Record positive and negative behaviour comments on Class Charts</w:t>
            </w:r>
          </w:p>
          <w:p w:rsidR="00D24AE5" w:rsidRDefault="0062472D">
            <w:pPr>
              <w:numPr>
                <w:ilvl w:val="0"/>
                <w:numId w:val="8"/>
              </w:numPr>
              <w:rPr>
                <w:sz w:val="20"/>
                <w:szCs w:val="20"/>
              </w:rPr>
            </w:pPr>
            <w:r>
              <w:rPr>
                <w:sz w:val="20"/>
                <w:szCs w:val="20"/>
              </w:rPr>
              <w:t>Be aware of and comply with policies and procedures related to Child Protection, equal opportunities GDPR, reporting any concerns regarding student welfare via the appropriate channels</w:t>
            </w:r>
          </w:p>
          <w:p w:rsidR="00D24AE5" w:rsidRDefault="0062472D">
            <w:pPr>
              <w:numPr>
                <w:ilvl w:val="0"/>
                <w:numId w:val="8"/>
              </w:numPr>
              <w:rPr>
                <w:sz w:val="20"/>
                <w:szCs w:val="20"/>
              </w:rPr>
            </w:pPr>
            <w:r>
              <w:rPr>
                <w:sz w:val="20"/>
                <w:szCs w:val="20"/>
              </w:rPr>
              <w:t xml:space="preserve">Liaise with the subject teacher regarding return of work, follow ups etc. </w:t>
            </w:r>
          </w:p>
          <w:p w:rsidR="00D24AE5" w:rsidRDefault="0062472D">
            <w:pPr>
              <w:numPr>
                <w:ilvl w:val="0"/>
                <w:numId w:val="8"/>
              </w:numPr>
              <w:rPr>
                <w:sz w:val="20"/>
                <w:szCs w:val="20"/>
              </w:rPr>
            </w:pPr>
            <w:r>
              <w:rPr>
                <w:sz w:val="20"/>
                <w:szCs w:val="20"/>
              </w:rPr>
              <w:t>Support the school by undertaking LSA duties when no cover is required</w:t>
            </w:r>
          </w:p>
          <w:p w:rsidR="00D24AE5" w:rsidRDefault="0062472D">
            <w:pPr>
              <w:numPr>
                <w:ilvl w:val="0"/>
                <w:numId w:val="8"/>
              </w:numPr>
              <w:rPr>
                <w:sz w:val="20"/>
                <w:szCs w:val="20"/>
              </w:rPr>
            </w:pPr>
            <w:r>
              <w:rPr>
                <w:sz w:val="20"/>
                <w:szCs w:val="20"/>
              </w:rPr>
              <w:t>Assume the role of tutor when required</w:t>
            </w:r>
          </w:p>
          <w:p w:rsidR="00D24AE5" w:rsidRPr="0062472D" w:rsidRDefault="0062472D" w:rsidP="0062472D">
            <w:pPr>
              <w:numPr>
                <w:ilvl w:val="0"/>
                <w:numId w:val="8"/>
              </w:numPr>
              <w:rPr>
                <w:sz w:val="20"/>
                <w:szCs w:val="20"/>
              </w:rPr>
            </w:pPr>
            <w:r>
              <w:rPr>
                <w:sz w:val="20"/>
                <w:szCs w:val="20"/>
              </w:rPr>
              <w:t xml:space="preserve">To support students on the SEN register for periods with no cover if required. </w:t>
            </w:r>
          </w:p>
          <w:p w:rsidR="00D24AE5" w:rsidRDefault="00D24AE5">
            <w:pPr>
              <w:ind w:left="720"/>
              <w:rPr>
                <w:sz w:val="20"/>
                <w:szCs w:val="20"/>
              </w:rPr>
            </w:pPr>
          </w:p>
        </w:tc>
      </w:tr>
      <w:tr w:rsidR="00D24AE5">
        <w:tc>
          <w:tcPr>
            <w:tcW w:w="1804" w:type="dxa"/>
          </w:tcPr>
          <w:p w:rsidR="00D24AE5" w:rsidRDefault="00D24AE5">
            <w:pPr>
              <w:rPr>
                <w:b/>
                <w:bCs/>
                <w:sz w:val="20"/>
                <w:szCs w:val="20"/>
              </w:rPr>
            </w:pPr>
          </w:p>
        </w:tc>
        <w:tc>
          <w:tcPr>
            <w:tcW w:w="7370" w:type="dxa"/>
          </w:tcPr>
          <w:p w:rsidR="00D24AE5" w:rsidRDefault="00D24AE5">
            <w:pPr>
              <w:ind w:left="720"/>
              <w:rPr>
                <w:sz w:val="20"/>
                <w:szCs w:val="20"/>
              </w:rPr>
            </w:pPr>
          </w:p>
        </w:tc>
      </w:tr>
      <w:tr w:rsidR="00D24AE5">
        <w:tc>
          <w:tcPr>
            <w:tcW w:w="1804" w:type="dxa"/>
          </w:tcPr>
          <w:p w:rsidR="00D24AE5" w:rsidRDefault="0062472D">
            <w:pPr>
              <w:pStyle w:val="Heading1"/>
              <w:rPr>
                <w:szCs w:val="20"/>
              </w:rPr>
            </w:pPr>
            <w:r>
              <w:t>Additional Duties</w:t>
            </w:r>
          </w:p>
          <w:p w:rsidR="00D24AE5" w:rsidRDefault="00D24AE5">
            <w:pPr>
              <w:jc w:val="center"/>
            </w:pPr>
          </w:p>
        </w:tc>
        <w:tc>
          <w:tcPr>
            <w:tcW w:w="7370" w:type="dxa"/>
          </w:tcPr>
          <w:p w:rsidR="00D24AE5" w:rsidRDefault="0062472D">
            <w:pPr>
              <w:pStyle w:val="ListParagraph"/>
              <w:numPr>
                <w:ilvl w:val="0"/>
                <w:numId w:val="12"/>
              </w:numPr>
              <w:rPr>
                <w:sz w:val="20"/>
              </w:rPr>
            </w:pPr>
            <w:r>
              <w:rPr>
                <w:sz w:val="20"/>
              </w:rPr>
              <w:t>To play a full part in the life of the school community, to support its mission and ethos and to encourage staff and pupils to follow this example</w:t>
            </w:r>
          </w:p>
          <w:p w:rsidR="00D24AE5" w:rsidRDefault="0062472D">
            <w:pPr>
              <w:numPr>
                <w:ilvl w:val="0"/>
                <w:numId w:val="4"/>
              </w:numPr>
              <w:rPr>
                <w:sz w:val="20"/>
              </w:rPr>
            </w:pPr>
            <w:r>
              <w:rPr>
                <w:sz w:val="20"/>
              </w:rPr>
              <w:t>To actively promote the schools’ policies</w:t>
            </w:r>
          </w:p>
          <w:p w:rsidR="00D24AE5" w:rsidRDefault="0062472D">
            <w:pPr>
              <w:numPr>
                <w:ilvl w:val="0"/>
                <w:numId w:val="4"/>
              </w:numPr>
              <w:rPr>
                <w:sz w:val="20"/>
              </w:rPr>
            </w:pPr>
            <w:r>
              <w:rPr>
                <w:sz w:val="20"/>
              </w:rPr>
              <w:t>To continue personal development</w:t>
            </w:r>
          </w:p>
          <w:p w:rsidR="00D24AE5" w:rsidRDefault="0062472D">
            <w:pPr>
              <w:numPr>
                <w:ilvl w:val="0"/>
                <w:numId w:val="4"/>
              </w:numPr>
              <w:rPr>
                <w:sz w:val="20"/>
              </w:rPr>
            </w:pPr>
            <w:r>
              <w:rPr>
                <w:sz w:val="20"/>
              </w:rPr>
              <w:t>To comply with the school’s Health and Safety policy and undertake risk assessments</w:t>
            </w:r>
          </w:p>
          <w:p w:rsidR="00D24AE5" w:rsidRDefault="0062472D">
            <w:pPr>
              <w:numPr>
                <w:ilvl w:val="0"/>
                <w:numId w:val="4"/>
              </w:numPr>
              <w:rPr>
                <w:sz w:val="20"/>
              </w:rPr>
            </w:pPr>
            <w:r>
              <w:rPr>
                <w:sz w:val="20"/>
              </w:rPr>
              <w:t xml:space="preserve">To carry out supervisory duties in accordance with the school’s published information </w:t>
            </w:r>
          </w:p>
          <w:p w:rsidR="00D24AE5" w:rsidRDefault="0062472D">
            <w:pPr>
              <w:numPr>
                <w:ilvl w:val="0"/>
                <w:numId w:val="4"/>
              </w:numPr>
              <w:rPr>
                <w:sz w:val="20"/>
              </w:rPr>
            </w:pPr>
            <w:r>
              <w:rPr>
                <w:sz w:val="20"/>
              </w:rPr>
              <w:t>To inform the school when you are absent from work and to set work for the classes which will require cover</w:t>
            </w:r>
          </w:p>
          <w:p w:rsidR="00D24AE5" w:rsidRDefault="0062472D">
            <w:pPr>
              <w:numPr>
                <w:ilvl w:val="0"/>
                <w:numId w:val="4"/>
              </w:numPr>
              <w:rPr>
                <w:sz w:val="20"/>
                <w:szCs w:val="20"/>
              </w:rPr>
            </w:pPr>
            <w:r>
              <w:rPr>
                <w:sz w:val="20"/>
              </w:rPr>
              <w:lastRenderedPageBreak/>
              <w:t>To undertake any other duty as specified by the School Teachers’ Pay and Conditions document not mentioned above</w:t>
            </w:r>
          </w:p>
          <w:p w:rsidR="00D24AE5" w:rsidRDefault="00D24AE5">
            <w:pPr>
              <w:ind w:left="720"/>
              <w:rPr>
                <w:sz w:val="20"/>
                <w:szCs w:val="20"/>
              </w:rPr>
            </w:pPr>
          </w:p>
        </w:tc>
      </w:tr>
    </w:tbl>
    <w:p w:rsidR="00D24AE5" w:rsidRDefault="00D24AE5">
      <w:pPr>
        <w:rPr>
          <w:sz w:val="20"/>
          <w:szCs w:val="20"/>
        </w:rPr>
      </w:pPr>
    </w:p>
    <w:p w:rsidR="00D24AE5" w:rsidRDefault="00D24AE5">
      <w:pPr>
        <w:rPr>
          <w:sz w:val="20"/>
          <w:szCs w:val="20"/>
        </w:rPr>
      </w:pPr>
    </w:p>
    <w:p w:rsidR="00D24AE5" w:rsidRDefault="0062472D">
      <w:pPr>
        <w:rPr>
          <w:sz w:val="20"/>
          <w:szCs w:val="20"/>
        </w:rPr>
      </w:pPr>
      <w:r>
        <w:rPr>
          <w:sz w:val="20"/>
          <w:szCs w:val="20"/>
        </w:rPr>
        <w:t>This job description is not necessarily a comprehensive definition. It will be reviewed annually.</w:t>
      </w:r>
    </w:p>
    <w:p w:rsidR="00D24AE5" w:rsidRDefault="00D24AE5">
      <w:pPr>
        <w:rPr>
          <w:sz w:val="20"/>
          <w:szCs w:val="20"/>
        </w:rPr>
      </w:pPr>
    </w:p>
    <w:p w:rsidR="00D24AE5" w:rsidRDefault="0062472D">
      <w:pPr>
        <w:rPr>
          <w:sz w:val="20"/>
          <w:szCs w:val="20"/>
        </w:rPr>
      </w:pPr>
      <w:r>
        <w:rPr>
          <w:sz w:val="20"/>
          <w:szCs w:val="20"/>
        </w:rPr>
        <w:t>Signed: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sectPr w:rsidR="00D24AE5">
      <w:pgSz w:w="11906" w:h="16838"/>
      <w:pgMar w:top="851" w:right="1361"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4E43"/>
    <w:multiLevelType w:val="hybridMultilevel"/>
    <w:tmpl w:val="58AAC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D485F"/>
    <w:multiLevelType w:val="hybridMultilevel"/>
    <w:tmpl w:val="769EF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3578C"/>
    <w:multiLevelType w:val="hybridMultilevel"/>
    <w:tmpl w:val="DB1E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12042"/>
    <w:multiLevelType w:val="hybridMultilevel"/>
    <w:tmpl w:val="56464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DA6E21"/>
    <w:multiLevelType w:val="hybridMultilevel"/>
    <w:tmpl w:val="62CCA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03905"/>
    <w:multiLevelType w:val="hybridMultilevel"/>
    <w:tmpl w:val="4E34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42BBE"/>
    <w:multiLevelType w:val="hybridMultilevel"/>
    <w:tmpl w:val="818E9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2436062"/>
    <w:multiLevelType w:val="hybridMultilevel"/>
    <w:tmpl w:val="BB2A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C48CA"/>
    <w:multiLevelType w:val="hybridMultilevel"/>
    <w:tmpl w:val="4A4A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982DB1"/>
    <w:multiLevelType w:val="hybridMultilevel"/>
    <w:tmpl w:val="498E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465EAB"/>
    <w:multiLevelType w:val="hybridMultilevel"/>
    <w:tmpl w:val="16FE7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0C3050"/>
    <w:multiLevelType w:val="hybridMultilevel"/>
    <w:tmpl w:val="68DC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8"/>
  </w:num>
  <w:num w:numId="6">
    <w:abstractNumId w:val="6"/>
  </w:num>
  <w:num w:numId="7">
    <w:abstractNumId w:val="7"/>
  </w:num>
  <w:num w:numId="8">
    <w:abstractNumId w:val="2"/>
  </w:num>
  <w:num w:numId="9">
    <w:abstractNumId w:val="11"/>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E5"/>
    <w:rsid w:val="00603B2E"/>
    <w:rsid w:val="0062472D"/>
    <w:rsid w:val="00D2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FEAF5"/>
  <w15:docId w15:val="{D1CE9A2A-CD66-4B14-9144-DDE159EB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paragraph" w:styleId="Title">
    <w:name w:val="Title"/>
    <w:basedOn w:val="Normal"/>
    <w:link w:val="TitleChar"/>
    <w:uiPriority w:val="10"/>
    <w:qFormat/>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437</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Norwood School</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Norwood School User</dc:creator>
  <cp:keywords/>
  <dc:description/>
  <cp:lastModifiedBy>Darnell-Smith.K</cp:lastModifiedBy>
  <cp:revision>4</cp:revision>
  <cp:lastPrinted>2023-05-16T10:17:00Z</cp:lastPrinted>
  <dcterms:created xsi:type="dcterms:W3CDTF">2023-04-25T12:45:00Z</dcterms:created>
  <dcterms:modified xsi:type="dcterms:W3CDTF">2023-05-24T07:14:00Z</dcterms:modified>
</cp:coreProperties>
</file>