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63" w:rsidRPr="00B44C6C" w:rsidRDefault="008005E9" w:rsidP="00BF1263">
      <w:pPr>
        <w:rPr>
          <w:rFonts w:ascii="Arial" w:hAnsi="Arial"/>
          <w:b/>
          <w:szCs w:val="22"/>
        </w:rPr>
      </w:pPr>
      <w:r w:rsidRPr="00CA06B6">
        <w:rPr>
          <w:noProof/>
        </w:rPr>
        <w:drawing>
          <wp:inline distT="0" distB="0" distL="0" distR="0">
            <wp:extent cx="2162175" cy="438150"/>
            <wp:effectExtent l="0" t="0" r="0" b="0"/>
            <wp:docPr id="1" name="Picture 1" descr="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BF1263" w:rsidRPr="00B44C6C" w:rsidRDefault="00BF1263" w:rsidP="00BF1263">
      <w:pPr>
        <w:pStyle w:val="Heading1"/>
        <w:rPr>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5"/>
      </w:tblGrid>
      <w:tr w:rsidR="00EC7571" w:rsidRPr="0026742B" w:rsidTr="00EC7571">
        <w:trPr>
          <w:cantSplit/>
          <w:tblHeader/>
        </w:trPr>
        <w:tc>
          <w:tcPr>
            <w:tcW w:w="10173" w:type="dxa"/>
            <w:gridSpan w:val="2"/>
            <w:tcBorders>
              <w:top w:val="single" w:sz="4" w:space="0" w:color="auto"/>
              <w:left w:val="single" w:sz="4" w:space="0" w:color="auto"/>
              <w:bottom w:val="single" w:sz="4" w:space="0" w:color="auto"/>
              <w:right w:val="single" w:sz="4" w:space="0" w:color="auto"/>
            </w:tcBorders>
            <w:shd w:val="pct5" w:color="auto" w:fill="CCCCCC"/>
          </w:tcPr>
          <w:p w:rsidR="00D7284E" w:rsidRDefault="00D7284E" w:rsidP="00EC7571">
            <w:pPr>
              <w:rPr>
                <w:rFonts w:ascii="Arial" w:hAnsi="Arial"/>
                <w:b/>
                <w:szCs w:val="22"/>
                <w:lang w:eastAsia="en-US"/>
              </w:rPr>
            </w:pPr>
          </w:p>
          <w:p w:rsidR="00EC7571" w:rsidRPr="00D7284E" w:rsidRDefault="00297455" w:rsidP="00EC7571">
            <w:pPr>
              <w:rPr>
                <w:rFonts w:ascii="Arial" w:hAnsi="Arial"/>
                <w:b/>
                <w:szCs w:val="22"/>
                <w:lang w:eastAsia="en-US"/>
              </w:rPr>
            </w:pPr>
            <w:r>
              <w:rPr>
                <w:rFonts w:ascii="Arial" w:hAnsi="Arial"/>
                <w:b/>
                <w:szCs w:val="22"/>
                <w:lang w:eastAsia="en-US"/>
              </w:rPr>
              <w:t>PASTORAL TUTOR</w:t>
            </w:r>
          </w:p>
          <w:p w:rsidR="00EC7571" w:rsidRPr="00EC7571" w:rsidRDefault="00EC7571" w:rsidP="00EC7571">
            <w:pPr>
              <w:rPr>
                <w:rFonts w:ascii="Arial" w:hAnsi="Arial"/>
                <w:b/>
                <w:sz w:val="21"/>
                <w:lang w:eastAsia="en-US"/>
              </w:rPr>
            </w:pPr>
            <w:r>
              <w:rPr>
                <w:rFonts w:ascii="Arial" w:hAnsi="Arial"/>
                <w:b/>
                <w:sz w:val="21"/>
                <w:lang w:eastAsia="en-US"/>
              </w:rPr>
              <w:t xml:space="preserve">Terms </w:t>
            </w:r>
            <w:r w:rsidRPr="00EC7571">
              <w:rPr>
                <w:rFonts w:ascii="Arial" w:hAnsi="Arial"/>
                <w:b/>
                <w:sz w:val="21"/>
                <w:lang w:eastAsia="en-US"/>
              </w:rPr>
              <w:t>of Employment</w:t>
            </w:r>
          </w:p>
        </w:tc>
      </w:tr>
      <w:tr w:rsidR="00EC7571" w:rsidRPr="0026742B" w:rsidTr="00EC7571">
        <w:tblPrEx>
          <w:tblLook w:val="0000" w:firstRow="0" w:lastRow="0" w:firstColumn="0" w:lastColumn="0" w:noHBand="0" w:noVBand="0"/>
        </w:tblPrEx>
        <w:trPr>
          <w:cantSplit/>
        </w:trPr>
        <w:tc>
          <w:tcPr>
            <w:tcW w:w="1668" w:type="dxa"/>
          </w:tcPr>
          <w:p w:rsidR="00EC7571" w:rsidRPr="0026742B" w:rsidRDefault="00EC7571" w:rsidP="003718DF">
            <w:pPr>
              <w:rPr>
                <w:rFonts w:ascii="Arial" w:hAnsi="Arial" w:cs="Arial"/>
                <w:b/>
                <w:sz w:val="21"/>
                <w:szCs w:val="21"/>
              </w:rPr>
            </w:pPr>
            <w:r w:rsidRPr="0026742B">
              <w:rPr>
                <w:rFonts w:ascii="Arial" w:hAnsi="Arial" w:cs="Arial"/>
                <w:b/>
                <w:sz w:val="21"/>
                <w:szCs w:val="21"/>
              </w:rPr>
              <w:t>General Conditions</w:t>
            </w:r>
          </w:p>
        </w:tc>
        <w:tc>
          <w:tcPr>
            <w:tcW w:w="8505" w:type="dxa"/>
          </w:tcPr>
          <w:p w:rsidR="00EC7571" w:rsidRPr="001143AB" w:rsidRDefault="00EC7571" w:rsidP="00C73F6C">
            <w:pPr>
              <w:spacing w:before="120" w:after="120"/>
              <w:rPr>
                <w:rFonts w:ascii="Arial" w:hAnsi="Arial" w:cs="Arial"/>
                <w:szCs w:val="22"/>
              </w:rPr>
            </w:pPr>
            <w:r w:rsidRPr="001143AB">
              <w:rPr>
                <w:rFonts w:ascii="Arial" w:hAnsi="Arial"/>
                <w:szCs w:val="22"/>
              </w:rPr>
              <w:t xml:space="preserve">Conditions of employment for support staff are as agreed between the Sixth Form Colleges </w:t>
            </w:r>
            <w:r w:rsidR="00D7284E" w:rsidRPr="001143AB">
              <w:rPr>
                <w:rFonts w:ascii="Arial" w:hAnsi="Arial"/>
                <w:szCs w:val="22"/>
              </w:rPr>
              <w:t xml:space="preserve">Association </w:t>
            </w:r>
            <w:r w:rsidRPr="001143AB">
              <w:rPr>
                <w:rFonts w:ascii="Arial" w:hAnsi="Arial"/>
                <w:szCs w:val="22"/>
              </w:rPr>
              <w:t xml:space="preserve">and staff representatives at national </w:t>
            </w:r>
            <w:r w:rsidR="00A30B64">
              <w:rPr>
                <w:rFonts w:ascii="Arial" w:hAnsi="Arial"/>
                <w:szCs w:val="22"/>
              </w:rPr>
              <w:t xml:space="preserve">and local </w:t>
            </w:r>
            <w:r w:rsidRPr="001143AB">
              <w:rPr>
                <w:rFonts w:ascii="Arial" w:hAnsi="Arial"/>
                <w:szCs w:val="22"/>
              </w:rPr>
              <w:t>level</w:t>
            </w:r>
            <w:r w:rsidR="00A30B64">
              <w:rPr>
                <w:rFonts w:ascii="Arial" w:hAnsi="Arial"/>
                <w:szCs w:val="22"/>
              </w:rPr>
              <w:t>.</w:t>
            </w:r>
          </w:p>
        </w:tc>
      </w:tr>
      <w:tr w:rsidR="00EC7571" w:rsidRPr="0026742B" w:rsidTr="00EC7571">
        <w:tblPrEx>
          <w:tblLook w:val="0000" w:firstRow="0" w:lastRow="0" w:firstColumn="0" w:lastColumn="0" w:noHBand="0" w:noVBand="0"/>
        </w:tblPrEx>
        <w:trPr>
          <w:cantSplit/>
        </w:trPr>
        <w:tc>
          <w:tcPr>
            <w:tcW w:w="1668" w:type="dxa"/>
          </w:tcPr>
          <w:p w:rsidR="00EC7571" w:rsidRPr="0026742B" w:rsidRDefault="00290A5E" w:rsidP="00290A5E">
            <w:pPr>
              <w:rPr>
                <w:rFonts w:ascii="Arial" w:hAnsi="Arial" w:cs="Arial"/>
                <w:b/>
                <w:sz w:val="21"/>
                <w:szCs w:val="21"/>
              </w:rPr>
            </w:pPr>
            <w:r>
              <w:rPr>
                <w:rFonts w:ascii="Arial" w:hAnsi="Arial" w:cs="Arial"/>
                <w:b/>
                <w:sz w:val="21"/>
                <w:szCs w:val="21"/>
              </w:rPr>
              <w:t xml:space="preserve">Start </w:t>
            </w:r>
            <w:r w:rsidR="00EC7571" w:rsidRPr="0026742B">
              <w:rPr>
                <w:rFonts w:ascii="Arial" w:hAnsi="Arial" w:cs="Arial"/>
                <w:b/>
                <w:sz w:val="21"/>
                <w:szCs w:val="21"/>
              </w:rPr>
              <w:t>Date</w:t>
            </w:r>
          </w:p>
        </w:tc>
        <w:tc>
          <w:tcPr>
            <w:tcW w:w="8505" w:type="dxa"/>
          </w:tcPr>
          <w:p w:rsidR="00EC7571" w:rsidRPr="00C73F6C" w:rsidRDefault="00E172F2" w:rsidP="00C73F6C">
            <w:pPr>
              <w:spacing w:before="120" w:after="120"/>
              <w:rPr>
                <w:rFonts w:ascii="Arial" w:hAnsi="Arial"/>
                <w:szCs w:val="22"/>
              </w:rPr>
            </w:pPr>
            <w:r>
              <w:rPr>
                <w:rFonts w:ascii="Arial" w:hAnsi="Arial"/>
                <w:szCs w:val="22"/>
              </w:rPr>
              <w:t>31</w:t>
            </w:r>
            <w:r w:rsidRPr="00E172F2">
              <w:rPr>
                <w:rFonts w:ascii="Arial" w:hAnsi="Arial"/>
                <w:szCs w:val="22"/>
                <w:vertAlign w:val="superscript"/>
              </w:rPr>
              <w:t>st</w:t>
            </w:r>
            <w:r>
              <w:rPr>
                <w:rFonts w:ascii="Arial" w:hAnsi="Arial"/>
                <w:szCs w:val="22"/>
              </w:rPr>
              <w:t xml:space="preserve"> August 2021</w:t>
            </w:r>
          </w:p>
        </w:tc>
      </w:tr>
      <w:tr w:rsidR="00EC7571" w:rsidRPr="0026742B" w:rsidTr="00EC7571">
        <w:tblPrEx>
          <w:tblLook w:val="0000" w:firstRow="0" w:lastRow="0" w:firstColumn="0" w:lastColumn="0" w:noHBand="0" w:noVBand="0"/>
        </w:tblPrEx>
        <w:trPr>
          <w:cantSplit/>
        </w:trPr>
        <w:tc>
          <w:tcPr>
            <w:tcW w:w="1668" w:type="dxa"/>
          </w:tcPr>
          <w:p w:rsidR="00EC7571" w:rsidRPr="0026742B" w:rsidRDefault="00EC7571" w:rsidP="003718DF">
            <w:pPr>
              <w:rPr>
                <w:rFonts w:ascii="Arial" w:hAnsi="Arial" w:cs="Arial"/>
                <w:b/>
                <w:sz w:val="21"/>
                <w:szCs w:val="21"/>
              </w:rPr>
            </w:pPr>
            <w:r w:rsidRPr="0026742B">
              <w:rPr>
                <w:rFonts w:ascii="Arial" w:hAnsi="Arial" w:cs="Arial"/>
                <w:b/>
                <w:sz w:val="21"/>
                <w:szCs w:val="21"/>
              </w:rPr>
              <w:t>Status</w:t>
            </w:r>
          </w:p>
        </w:tc>
        <w:tc>
          <w:tcPr>
            <w:tcW w:w="8505" w:type="dxa"/>
          </w:tcPr>
          <w:p w:rsidR="00EC7571" w:rsidRPr="001143AB" w:rsidRDefault="00B67A7C" w:rsidP="00C73F6C">
            <w:pPr>
              <w:spacing w:before="120" w:after="120"/>
              <w:rPr>
                <w:rFonts w:ascii="Arial" w:hAnsi="Arial" w:cs="Arial"/>
                <w:szCs w:val="22"/>
              </w:rPr>
            </w:pPr>
            <w:r>
              <w:rPr>
                <w:rFonts w:ascii="Arial" w:hAnsi="Arial" w:cs="Arial"/>
                <w:szCs w:val="22"/>
              </w:rPr>
              <w:t xml:space="preserve">Permanent </w:t>
            </w:r>
            <w:r w:rsidR="00EC7571" w:rsidRPr="002E450C">
              <w:rPr>
                <w:rFonts w:ascii="Arial" w:hAnsi="Arial" w:cs="Arial"/>
                <w:szCs w:val="22"/>
              </w:rPr>
              <w:t>post in the College’s Support Staff structure.</w:t>
            </w:r>
            <w:r w:rsidR="00C326E9" w:rsidRPr="002E450C">
              <w:rPr>
                <w:rFonts w:ascii="Arial" w:hAnsi="Arial" w:cs="Arial"/>
                <w:szCs w:val="22"/>
              </w:rPr>
              <w:t xml:space="preserve">  </w:t>
            </w:r>
          </w:p>
        </w:tc>
      </w:tr>
      <w:tr w:rsidR="00EC7571" w:rsidRPr="0026742B" w:rsidTr="00EC7571">
        <w:tblPrEx>
          <w:tblLook w:val="0000" w:firstRow="0" w:lastRow="0" w:firstColumn="0" w:lastColumn="0" w:noHBand="0" w:noVBand="0"/>
        </w:tblPrEx>
        <w:trPr>
          <w:cantSplit/>
          <w:trHeight w:val="715"/>
        </w:trPr>
        <w:tc>
          <w:tcPr>
            <w:tcW w:w="1668" w:type="dxa"/>
          </w:tcPr>
          <w:p w:rsidR="00EC7571" w:rsidRPr="0026742B" w:rsidRDefault="00EC7571" w:rsidP="003718DF">
            <w:pPr>
              <w:rPr>
                <w:rFonts w:ascii="Arial" w:hAnsi="Arial" w:cs="Arial"/>
                <w:b/>
                <w:sz w:val="21"/>
                <w:szCs w:val="21"/>
              </w:rPr>
            </w:pPr>
            <w:r w:rsidRPr="0026742B">
              <w:rPr>
                <w:rFonts w:ascii="Arial" w:hAnsi="Arial" w:cs="Arial"/>
                <w:b/>
                <w:sz w:val="21"/>
                <w:szCs w:val="21"/>
              </w:rPr>
              <w:t>Hours of work</w:t>
            </w:r>
          </w:p>
          <w:p w:rsidR="00EC7571" w:rsidRPr="0026742B" w:rsidRDefault="00EC7571" w:rsidP="003718DF">
            <w:pPr>
              <w:rPr>
                <w:rFonts w:ascii="Arial" w:hAnsi="Arial" w:cs="Arial"/>
                <w:b/>
                <w:sz w:val="21"/>
                <w:szCs w:val="21"/>
              </w:rPr>
            </w:pPr>
          </w:p>
        </w:tc>
        <w:tc>
          <w:tcPr>
            <w:tcW w:w="8505" w:type="dxa"/>
          </w:tcPr>
          <w:p w:rsidR="00733E42" w:rsidRPr="001143AB" w:rsidRDefault="004A0B43" w:rsidP="00C73F6C">
            <w:pPr>
              <w:spacing w:before="120"/>
              <w:rPr>
                <w:rFonts w:ascii="Arial" w:hAnsi="Arial" w:cs="Arial"/>
                <w:szCs w:val="22"/>
              </w:rPr>
            </w:pPr>
            <w:r>
              <w:rPr>
                <w:rFonts w:ascii="Arial" w:hAnsi="Arial" w:cs="Arial"/>
                <w:szCs w:val="22"/>
              </w:rPr>
              <w:t>37 hours per week: 8.30am - 4.30pm (one day 30 minutes less at the beginning or end of the day), 5 days per week with a half an hour lunch break (unpaid),</w:t>
            </w:r>
            <w:r w:rsidR="00EC7571" w:rsidRPr="001143AB">
              <w:rPr>
                <w:rFonts w:ascii="Arial" w:hAnsi="Arial" w:cs="Arial"/>
                <w:szCs w:val="22"/>
              </w:rPr>
              <w:t xml:space="preserve"> term time</w:t>
            </w:r>
            <w:r w:rsidR="00A44D18" w:rsidRPr="001143AB">
              <w:rPr>
                <w:rFonts w:ascii="Arial" w:hAnsi="Arial" w:cs="Arial"/>
                <w:szCs w:val="22"/>
              </w:rPr>
              <w:t xml:space="preserve"> (38 weeks)</w:t>
            </w:r>
            <w:r w:rsidR="00297455" w:rsidRPr="001143AB">
              <w:rPr>
                <w:rFonts w:ascii="Arial" w:hAnsi="Arial" w:cs="Arial"/>
                <w:szCs w:val="22"/>
              </w:rPr>
              <w:t xml:space="preserve"> </w:t>
            </w:r>
            <w:r w:rsidR="00D85E16" w:rsidRPr="002E450C">
              <w:rPr>
                <w:rFonts w:ascii="Arial" w:hAnsi="Arial" w:cs="Arial"/>
                <w:szCs w:val="22"/>
              </w:rPr>
              <w:t xml:space="preserve">plus </w:t>
            </w:r>
            <w:r w:rsidR="00884DE5" w:rsidRPr="002E450C">
              <w:rPr>
                <w:rFonts w:ascii="Arial" w:hAnsi="Arial" w:cs="Arial"/>
                <w:szCs w:val="22"/>
              </w:rPr>
              <w:t>2</w:t>
            </w:r>
            <w:r w:rsidR="00D85E16" w:rsidRPr="002E450C">
              <w:rPr>
                <w:rFonts w:ascii="Arial" w:hAnsi="Arial" w:cs="Arial"/>
                <w:szCs w:val="22"/>
              </w:rPr>
              <w:t xml:space="preserve"> week</w:t>
            </w:r>
            <w:r w:rsidR="00884DE5" w:rsidRPr="002E450C">
              <w:rPr>
                <w:rFonts w:ascii="Arial" w:hAnsi="Arial" w:cs="Arial"/>
                <w:szCs w:val="22"/>
              </w:rPr>
              <w:t>s</w:t>
            </w:r>
            <w:r w:rsidR="00D70A7F" w:rsidRPr="002E450C">
              <w:rPr>
                <w:rFonts w:ascii="Arial" w:hAnsi="Arial" w:cs="Arial"/>
                <w:szCs w:val="22"/>
              </w:rPr>
              <w:t>/</w:t>
            </w:r>
            <w:r w:rsidR="00884DE5" w:rsidRPr="002E450C">
              <w:rPr>
                <w:rFonts w:ascii="Arial" w:hAnsi="Arial" w:cs="Arial"/>
                <w:szCs w:val="22"/>
              </w:rPr>
              <w:t>7</w:t>
            </w:r>
            <w:r w:rsidR="00C326E9" w:rsidRPr="002E450C">
              <w:rPr>
                <w:rFonts w:ascii="Arial" w:hAnsi="Arial" w:cs="Arial"/>
                <w:szCs w:val="22"/>
              </w:rPr>
              <w:t>4</w:t>
            </w:r>
            <w:r w:rsidR="00D70A7F" w:rsidRPr="002E450C">
              <w:rPr>
                <w:rFonts w:ascii="Arial" w:hAnsi="Arial" w:cs="Arial"/>
                <w:szCs w:val="22"/>
              </w:rPr>
              <w:t xml:space="preserve"> hours</w:t>
            </w:r>
            <w:r w:rsidR="00C326E9" w:rsidRPr="001143AB">
              <w:rPr>
                <w:rFonts w:ascii="Arial" w:hAnsi="Arial" w:cs="Arial"/>
                <w:szCs w:val="22"/>
              </w:rPr>
              <w:t xml:space="preserve"> </w:t>
            </w:r>
            <w:r w:rsidR="00884DE5">
              <w:rPr>
                <w:rFonts w:ascii="Arial" w:hAnsi="Arial" w:cs="Arial"/>
                <w:szCs w:val="22"/>
              </w:rPr>
              <w:t>(worked outside of normal term time) per academic year</w:t>
            </w:r>
            <w:r w:rsidR="00297455" w:rsidRPr="001143AB">
              <w:rPr>
                <w:rFonts w:ascii="Arial" w:hAnsi="Arial" w:cs="Arial"/>
                <w:szCs w:val="22"/>
              </w:rPr>
              <w:t xml:space="preserve">. </w:t>
            </w:r>
            <w:r w:rsidR="004F546F" w:rsidRPr="001143AB">
              <w:rPr>
                <w:rFonts w:ascii="Arial" w:hAnsi="Arial" w:cs="Arial"/>
                <w:szCs w:val="22"/>
              </w:rPr>
              <w:t xml:space="preserve">   </w:t>
            </w:r>
          </w:p>
          <w:p w:rsidR="00EC7571" w:rsidRPr="001143AB" w:rsidRDefault="00D70A7F" w:rsidP="00C73F6C">
            <w:pPr>
              <w:spacing w:before="120" w:after="120"/>
              <w:rPr>
                <w:rFonts w:ascii="Arial" w:hAnsi="Arial" w:cs="Arial"/>
                <w:i/>
                <w:szCs w:val="22"/>
              </w:rPr>
            </w:pPr>
            <w:r w:rsidRPr="001143AB">
              <w:rPr>
                <w:rFonts w:ascii="Arial" w:hAnsi="Arial" w:cs="Arial"/>
                <w:szCs w:val="22"/>
              </w:rPr>
              <w:t xml:space="preserve">During the Spring term 2 or 3 additional weekly hours are likely to be required to carry out interviews for prospective students.  These hours </w:t>
            </w:r>
            <w:r w:rsidR="00884DE5">
              <w:rPr>
                <w:rFonts w:ascii="Arial" w:hAnsi="Arial" w:cs="Arial"/>
                <w:szCs w:val="22"/>
              </w:rPr>
              <w:t>will be taken from the ‘plus two</w:t>
            </w:r>
            <w:r w:rsidRPr="001143AB">
              <w:rPr>
                <w:rFonts w:ascii="Arial" w:hAnsi="Arial" w:cs="Arial"/>
                <w:szCs w:val="22"/>
              </w:rPr>
              <w:t xml:space="preserve"> week</w:t>
            </w:r>
            <w:r w:rsidR="00884DE5">
              <w:rPr>
                <w:rFonts w:ascii="Arial" w:hAnsi="Arial" w:cs="Arial"/>
                <w:szCs w:val="22"/>
              </w:rPr>
              <w:t>s</w:t>
            </w:r>
            <w:r w:rsidRPr="001143AB">
              <w:rPr>
                <w:rFonts w:ascii="Arial" w:hAnsi="Arial" w:cs="Arial"/>
                <w:szCs w:val="22"/>
              </w:rPr>
              <w:t xml:space="preserve">’ hours or as agreed lieu time or where neither is possible will be paid.  </w:t>
            </w:r>
          </w:p>
        </w:tc>
      </w:tr>
      <w:tr w:rsidR="00EC7571" w:rsidRPr="0026742B" w:rsidTr="00EC7571">
        <w:tblPrEx>
          <w:tblLook w:val="0000" w:firstRow="0" w:lastRow="0" w:firstColumn="0" w:lastColumn="0" w:noHBand="0" w:noVBand="0"/>
        </w:tblPrEx>
        <w:trPr>
          <w:cantSplit/>
        </w:trPr>
        <w:tc>
          <w:tcPr>
            <w:tcW w:w="1668" w:type="dxa"/>
          </w:tcPr>
          <w:p w:rsidR="00EC7571" w:rsidRPr="0026742B" w:rsidRDefault="00EC7571" w:rsidP="003718DF">
            <w:pPr>
              <w:rPr>
                <w:rFonts w:ascii="Arial" w:hAnsi="Arial" w:cs="Arial"/>
                <w:b/>
                <w:sz w:val="21"/>
                <w:szCs w:val="21"/>
              </w:rPr>
            </w:pPr>
            <w:r w:rsidRPr="0026742B">
              <w:rPr>
                <w:rFonts w:ascii="Arial" w:hAnsi="Arial" w:cs="Arial"/>
                <w:b/>
                <w:sz w:val="21"/>
                <w:szCs w:val="21"/>
              </w:rPr>
              <w:t>Pensions</w:t>
            </w:r>
          </w:p>
        </w:tc>
        <w:tc>
          <w:tcPr>
            <w:tcW w:w="8505" w:type="dxa"/>
          </w:tcPr>
          <w:p w:rsidR="00EC7571" w:rsidRPr="001143AB" w:rsidRDefault="00D7284E" w:rsidP="00C73F6C">
            <w:pPr>
              <w:spacing w:before="120" w:after="120"/>
              <w:rPr>
                <w:rFonts w:ascii="Arial" w:hAnsi="Arial" w:cs="Arial"/>
                <w:szCs w:val="22"/>
              </w:rPr>
            </w:pPr>
            <w:r w:rsidRPr="001143AB">
              <w:rPr>
                <w:rFonts w:ascii="Arial" w:hAnsi="Arial" w:cs="Arial"/>
                <w:szCs w:val="22"/>
              </w:rPr>
              <w:t xml:space="preserve">Support staff will be automatically brought into the </w:t>
            </w:r>
            <w:r w:rsidR="00EC7571" w:rsidRPr="001143AB">
              <w:rPr>
                <w:rFonts w:ascii="Arial" w:hAnsi="Arial" w:cs="Arial"/>
                <w:szCs w:val="22"/>
              </w:rPr>
              <w:t>Local Government Pension Scheme, administered by Worcestershire County Council</w:t>
            </w:r>
            <w:r w:rsidRPr="001143AB">
              <w:rPr>
                <w:rFonts w:ascii="Arial" w:hAnsi="Arial" w:cs="Arial"/>
                <w:szCs w:val="22"/>
              </w:rPr>
              <w:t>.</w:t>
            </w:r>
            <w:r w:rsidR="00EC7571" w:rsidRPr="001143AB">
              <w:rPr>
                <w:rFonts w:ascii="Arial" w:hAnsi="Arial" w:cs="Arial"/>
                <w:szCs w:val="22"/>
              </w:rPr>
              <w:t xml:space="preserve"> </w:t>
            </w:r>
            <w:r w:rsidRPr="001143AB">
              <w:rPr>
                <w:rFonts w:ascii="Arial" w:hAnsi="Arial" w:cs="Arial"/>
                <w:szCs w:val="22"/>
              </w:rPr>
              <w:t xml:space="preserve"> Where the contract of </w:t>
            </w:r>
            <w:r w:rsidRPr="001143AB">
              <w:rPr>
                <w:szCs w:val="22"/>
              </w:rPr>
              <w:t>employment is for less than 3 months, there is the opportunity to opt to join by completing an application form.</w:t>
            </w:r>
            <w:r w:rsidR="00EC7571" w:rsidRPr="001143AB">
              <w:rPr>
                <w:rFonts w:ascii="Arial" w:hAnsi="Arial" w:cs="Arial"/>
                <w:szCs w:val="22"/>
              </w:rPr>
              <w:t xml:space="preserve">  Contributions are banded and further information is available under </w:t>
            </w:r>
            <w:hyperlink r:id="rId9" w:history="1">
              <w:r w:rsidR="00290A5E" w:rsidRPr="001143AB">
                <w:rPr>
                  <w:rStyle w:val="Hyperlink"/>
                  <w:szCs w:val="22"/>
                </w:rPr>
                <w:t>www.lgps.org.uk</w:t>
              </w:r>
            </w:hyperlink>
            <w:hyperlink r:id="rId10" w:history="1"/>
            <w:r w:rsidR="00D92654" w:rsidRPr="001143AB">
              <w:rPr>
                <w:rFonts w:ascii="Arial" w:hAnsi="Arial" w:cs="Arial"/>
                <w:szCs w:val="22"/>
              </w:rPr>
              <w:t>.</w:t>
            </w:r>
          </w:p>
        </w:tc>
      </w:tr>
      <w:tr w:rsidR="00EC7571" w:rsidRPr="0026742B" w:rsidTr="00EC7571">
        <w:tblPrEx>
          <w:tblLook w:val="0000" w:firstRow="0" w:lastRow="0" w:firstColumn="0" w:lastColumn="0" w:noHBand="0" w:noVBand="0"/>
        </w:tblPrEx>
        <w:trPr>
          <w:cantSplit/>
        </w:trPr>
        <w:tc>
          <w:tcPr>
            <w:tcW w:w="1668" w:type="dxa"/>
            <w:tcBorders>
              <w:bottom w:val="single" w:sz="4" w:space="0" w:color="auto"/>
            </w:tcBorders>
          </w:tcPr>
          <w:p w:rsidR="00EC7571" w:rsidRPr="0026742B" w:rsidRDefault="00EC7571" w:rsidP="003718DF">
            <w:pPr>
              <w:rPr>
                <w:rFonts w:ascii="Arial" w:hAnsi="Arial" w:cs="Arial"/>
                <w:b/>
                <w:sz w:val="21"/>
                <w:szCs w:val="21"/>
              </w:rPr>
            </w:pPr>
            <w:r w:rsidRPr="0026742B">
              <w:rPr>
                <w:rFonts w:ascii="Arial" w:hAnsi="Arial" w:cs="Arial"/>
                <w:b/>
                <w:sz w:val="21"/>
                <w:szCs w:val="21"/>
              </w:rPr>
              <w:t>Holidays</w:t>
            </w:r>
          </w:p>
        </w:tc>
        <w:tc>
          <w:tcPr>
            <w:tcW w:w="8505" w:type="dxa"/>
            <w:tcBorders>
              <w:bottom w:val="single" w:sz="4" w:space="0" w:color="auto"/>
            </w:tcBorders>
          </w:tcPr>
          <w:p w:rsidR="00EC7571" w:rsidRPr="001143AB" w:rsidRDefault="00EC7571" w:rsidP="00C73F6C">
            <w:pPr>
              <w:spacing w:before="120"/>
              <w:rPr>
                <w:rFonts w:ascii="Arial" w:hAnsi="Arial" w:cs="Arial"/>
                <w:szCs w:val="22"/>
              </w:rPr>
            </w:pPr>
            <w:r w:rsidRPr="001143AB">
              <w:rPr>
                <w:rFonts w:ascii="Arial" w:hAnsi="Arial" w:cs="Arial"/>
                <w:szCs w:val="22"/>
              </w:rPr>
              <w:t xml:space="preserve">As a term-time employee, the leave entitlement is paid as part of salary and all annual leave is taken during College holidays.  </w:t>
            </w:r>
          </w:p>
          <w:p w:rsidR="00EC7571" w:rsidRPr="001143AB" w:rsidRDefault="00EC7571" w:rsidP="003718DF">
            <w:pPr>
              <w:rPr>
                <w:rFonts w:ascii="Arial" w:hAnsi="Arial" w:cs="Arial"/>
                <w:szCs w:val="22"/>
              </w:rPr>
            </w:pPr>
          </w:p>
          <w:p w:rsidR="00EC7571" w:rsidRPr="001143AB" w:rsidRDefault="00EC7571" w:rsidP="00C73F6C">
            <w:pPr>
              <w:spacing w:after="120"/>
              <w:rPr>
                <w:rFonts w:ascii="Arial" w:hAnsi="Arial" w:cs="Arial"/>
                <w:szCs w:val="22"/>
              </w:rPr>
            </w:pPr>
            <w:r w:rsidRPr="001143AB">
              <w:rPr>
                <w:rFonts w:ascii="Arial" w:hAnsi="Arial" w:cs="Arial"/>
                <w:szCs w:val="22"/>
              </w:rPr>
              <w:t>Full year employees receive 25 working days plus 8 public holidays.  There is an entitlement to an additional 5 days’ holiday after 5 years</w:t>
            </w:r>
            <w:r w:rsidR="00884DE5">
              <w:rPr>
                <w:rFonts w:ascii="Arial" w:hAnsi="Arial" w:cs="Arial"/>
                <w:szCs w:val="22"/>
              </w:rPr>
              <w:t>’</w:t>
            </w:r>
            <w:r w:rsidRPr="001143AB">
              <w:rPr>
                <w:rFonts w:ascii="Arial" w:hAnsi="Arial" w:cs="Arial"/>
                <w:szCs w:val="22"/>
              </w:rPr>
              <w:t xml:space="preserve"> continuous service. </w:t>
            </w:r>
          </w:p>
        </w:tc>
      </w:tr>
      <w:tr w:rsidR="00EC7571" w:rsidRPr="0026742B" w:rsidTr="00EC7571">
        <w:tblPrEx>
          <w:tblLook w:val="0000" w:firstRow="0" w:lastRow="0" w:firstColumn="0" w:lastColumn="0" w:noHBand="0" w:noVBand="0"/>
        </w:tblPrEx>
        <w:trPr>
          <w:cantSplit/>
        </w:trPr>
        <w:tc>
          <w:tcPr>
            <w:tcW w:w="1668" w:type="dxa"/>
            <w:tcBorders>
              <w:top w:val="single" w:sz="4" w:space="0" w:color="auto"/>
            </w:tcBorders>
          </w:tcPr>
          <w:p w:rsidR="00EC7571" w:rsidRPr="0026742B" w:rsidRDefault="00EC7571" w:rsidP="003718DF">
            <w:pPr>
              <w:rPr>
                <w:rFonts w:ascii="Arial" w:hAnsi="Arial" w:cs="Arial"/>
                <w:b/>
                <w:sz w:val="21"/>
                <w:szCs w:val="21"/>
              </w:rPr>
            </w:pPr>
            <w:r w:rsidRPr="0026742B">
              <w:rPr>
                <w:rFonts w:ascii="Arial" w:hAnsi="Arial" w:cs="Arial"/>
                <w:b/>
                <w:sz w:val="21"/>
                <w:szCs w:val="21"/>
              </w:rPr>
              <w:t>Pay</w:t>
            </w:r>
          </w:p>
        </w:tc>
        <w:tc>
          <w:tcPr>
            <w:tcW w:w="8505" w:type="dxa"/>
            <w:tcBorders>
              <w:top w:val="single" w:sz="4" w:space="0" w:color="auto"/>
            </w:tcBorders>
          </w:tcPr>
          <w:p w:rsidR="00B37759" w:rsidRDefault="008231CC" w:rsidP="00C73F6C">
            <w:pPr>
              <w:spacing w:before="120"/>
              <w:rPr>
                <w:rFonts w:cs="Arial"/>
                <w:szCs w:val="22"/>
              </w:rPr>
            </w:pPr>
            <w:r>
              <w:rPr>
                <w:rFonts w:cs="Arial"/>
                <w:szCs w:val="22"/>
              </w:rPr>
              <w:t>Actual s</w:t>
            </w:r>
            <w:r w:rsidR="00B37759">
              <w:rPr>
                <w:rFonts w:cs="Arial"/>
                <w:szCs w:val="22"/>
              </w:rPr>
              <w:t>tarting s</w:t>
            </w:r>
            <w:r w:rsidR="00B67A7C" w:rsidRPr="00B67A7C">
              <w:rPr>
                <w:rFonts w:cs="Arial"/>
                <w:szCs w:val="22"/>
              </w:rPr>
              <w:t>alary will be £</w:t>
            </w:r>
            <w:r w:rsidR="00E172F2">
              <w:rPr>
                <w:rFonts w:cs="Arial"/>
                <w:szCs w:val="22"/>
              </w:rPr>
              <w:t>19,18</w:t>
            </w:r>
            <w:r w:rsidR="003739D7">
              <w:rPr>
                <w:rFonts w:cs="Arial"/>
                <w:szCs w:val="22"/>
              </w:rPr>
              <w:t>7</w:t>
            </w:r>
            <w:r w:rsidR="00E172F2">
              <w:rPr>
                <w:rFonts w:cs="Arial"/>
                <w:szCs w:val="22"/>
              </w:rPr>
              <w:t>,</w:t>
            </w:r>
            <w:r w:rsidR="00B67A7C" w:rsidRPr="00B67A7C">
              <w:rPr>
                <w:rFonts w:cs="Arial"/>
                <w:szCs w:val="22"/>
              </w:rPr>
              <w:t xml:space="preserve"> based on the Sixth Form Colleges’ Support Staff Salary Spine points </w:t>
            </w:r>
            <w:r w:rsidR="009E4B4C">
              <w:rPr>
                <w:rFonts w:cs="Arial"/>
                <w:szCs w:val="22"/>
              </w:rPr>
              <w:t>10-12</w:t>
            </w:r>
            <w:r w:rsidR="003739D7">
              <w:rPr>
                <w:rFonts w:cs="Arial"/>
                <w:szCs w:val="22"/>
              </w:rPr>
              <w:t xml:space="preserve"> </w:t>
            </w:r>
            <w:r w:rsidR="00E172F2" w:rsidRPr="00B67A7C">
              <w:rPr>
                <w:rFonts w:cs="Arial"/>
                <w:szCs w:val="22"/>
              </w:rPr>
              <w:t>(</w:t>
            </w:r>
            <w:r w:rsidR="00E172F2">
              <w:rPr>
                <w:rFonts w:cs="Arial"/>
                <w:szCs w:val="22"/>
              </w:rPr>
              <w:t xml:space="preserve">currently </w:t>
            </w:r>
            <w:r w:rsidR="00E172F2" w:rsidRPr="00B67A7C">
              <w:rPr>
                <w:rFonts w:cs="Arial"/>
                <w:szCs w:val="22"/>
              </w:rPr>
              <w:t>£</w:t>
            </w:r>
            <w:r w:rsidR="00E172F2">
              <w:rPr>
                <w:rFonts w:cs="Arial"/>
                <w:szCs w:val="22"/>
              </w:rPr>
              <w:t>21,873</w:t>
            </w:r>
            <w:r w:rsidR="00E172F2" w:rsidRPr="00B67A7C">
              <w:rPr>
                <w:rFonts w:cs="Arial"/>
                <w:szCs w:val="22"/>
              </w:rPr>
              <w:t xml:space="preserve"> - £</w:t>
            </w:r>
            <w:r w:rsidR="00E172F2">
              <w:rPr>
                <w:rFonts w:cs="Arial"/>
                <w:szCs w:val="22"/>
              </w:rPr>
              <w:t>23,324</w:t>
            </w:r>
            <w:r w:rsidR="00E172F2" w:rsidRPr="00B67A7C">
              <w:rPr>
                <w:rFonts w:cs="Arial"/>
                <w:szCs w:val="22"/>
              </w:rPr>
              <w:t xml:space="preserve"> pro-rata)</w:t>
            </w:r>
            <w:r w:rsidR="00E172F2">
              <w:rPr>
                <w:rFonts w:cs="Arial"/>
                <w:szCs w:val="22"/>
              </w:rPr>
              <w:t>.</w:t>
            </w:r>
          </w:p>
          <w:p w:rsidR="00B37759" w:rsidRPr="00B67A7C" w:rsidRDefault="00B37759" w:rsidP="00B67A7C">
            <w:pPr>
              <w:rPr>
                <w:rFonts w:cs="Arial"/>
                <w:szCs w:val="22"/>
              </w:rPr>
            </w:pPr>
          </w:p>
          <w:p w:rsidR="00905B87" w:rsidRPr="00B37759" w:rsidRDefault="00B37759" w:rsidP="009E4B4C">
            <w:pPr>
              <w:spacing w:after="120"/>
              <w:rPr>
                <w:rFonts w:cs="Arial"/>
                <w:szCs w:val="22"/>
              </w:rPr>
            </w:pPr>
            <w:r>
              <w:rPr>
                <w:rFonts w:cs="Arial"/>
              </w:rPr>
              <w:t xml:space="preserve">Appointment will normally be to point </w:t>
            </w:r>
            <w:r w:rsidR="009E4B4C">
              <w:rPr>
                <w:rFonts w:cs="Arial"/>
              </w:rPr>
              <w:t>10</w:t>
            </w:r>
            <w:r>
              <w:rPr>
                <w:rFonts w:cs="Arial"/>
              </w:rPr>
              <w:t xml:space="preserve">. </w:t>
            </w:r>
            <w:r>
              <w:rPr>
                <w:rFonts w:ascii="Arial" w:hAnsi="Arial" w:cs="Arial"/>
                <w:sz w:val="21"/>
                <w:szCs w:val="21"/>
              </w:rPr>
              <w:t>A term-</w:t>
            </w:r>
            <w:r w:rsidRPr="0026742B">
              <w:rPr>
                <w:rFonts w:ascii="Arial" w:hAnsi="Arial" w:cs="Arial"/>
                <w:sz w:val="21"/>
                <w:szCs w:val="21"/>
              </w:rPr>
              <w:t>time factor</w:t>
            </w:r>
            <w:r w:rsidR="005B3EB6">
              <w:rPr>
                <w:rFonts w:ascii="Arial" w:hAnsi="Arial" w:cs="Arial"/>
                <w:sz w:val="21"/>
                <w:szCs w:val="21"/>
              </w:rPr>
              <w:t xml:space="preserve"> of 0.8772</w:t>
            </w:r>
            <w:r w:rsidRPr="0026742B">
              <w:rPr>
                <w:rFonts w:ascii="Arial" w:hAnsi="Arial" w:cs="Arial"/>
                <w:sz w:val="21"/>
                <w:szCs w:val="21"/>
              </w:rPr>
              <w:t xml:space="preserve"> </w:t>
            </w:r>
            <w:r>
              <w:rPr>
                <w:rFonts w:ascii="Arial" w:hAnsi="Arial" w:cs="Arial"/>
                <w:sz w:val="21"/>
                <w:szCs w:val="21"/>
              </w:rPr>
              <w:t xml:space="preserve">is </w:t>
            </w:r>
            <w:r w:rsidRPr="0026742B">
              <w:rPr>
                <w:rFonts w:ascii="Arial" w:hAnsi="Arial" w:cs="Arial"/>
                <w:sz w:val="21"/>
                <w:szCs w:val="21"/>
              </w:rPr>
              <w:t>used to calculate salary</w:t>
            </w:r>
            <w:r>
              <w:rPr>
                <w:rFonts w:ascii="Arial" w:hAnsi="Arial" w:cs="Arial"/>
                <w:sz w:val="21"/>
                <w:szCs w:val="21"/>
              </w:rPr>
              <w:t>, which is spread equally throughout the year.</w:t>
            </w:r>
          </w:p>
        </w:tc>
      </w:tr>
      <w:tr w:rsidR="00EC7571" w:rsidRPr="0026742B" w:rsidTr="00EC7571">
        <w:tblPrEx>
          <w:tblLook w:val="0000" w:firstRow="0" w:lastRow="0" w:firstColumn="0" w:lastColumn="0" w:noHBand="0" w:noVBand="0"/>
        </w:tblPrEx>
        <w:trPr>
          <w:cantSplit/>
        </w:trPr>
        <w:tc>
          <w:tcPr>
            <w:tcW w:w="1668" w:type="dxa"/>
          </w:tcPr>
          <w:p w:rsidR="00EC7571" w:rsidRDefault="00EC7571" w:rsidP="003718DF">
            <w:pPr>
              <w:rPr>
                <w:rFonts w:ascii="Arial" w:hAnsi="Arial" w:cs="Arial"/>
                <w:b/>
                <w:sz w:val="21"/>
                <w:szCs w:val="21"/>
              </w:rPr>
            </w:pPr>
            <w:r w:rsidRPr="0026742B">
              <w:rPr>
                <w:rFonts w:ascii="Arial" w:hAnsi="Arial" w:cs="Arial"/>
                <w:b/>
                <w:sz w:val="21"/>
                <w:szCs w:val="21"/>
              </w:rPr>
              <w:t>Child Protection</w:t>
            </w:r>
            <w:r>
              <w:rPr>
                <w:rFonts w:ascii="Arial" w:hAnsi="Arial" w:cs="Arial"/>
                <w:b/>
                <w:sz w:val="21"/>
                <w:szCs w:val="21"/>
              </w:rPr>
              <w:t>/</w:t>
            </w:r>
          </w:p>
          <w:p w:rsidR="00EC7571" w:rsidRPr="0026742B" w:rsidRDefault="00EC7571" w:rsidP="003718DF">
            <w:pPr>
              <w:rPr>
                <w:rFonts w:ascii="Arial" w:hAnsi="Arial" w:cs="Arial"/>
                <w:b/>
                <w:sz w:val="21"/>
                <w:szCs w:val="21"/>
              </w:rPr>
            </w:pPr>
            <w:r>
              <w:rPr>
                <w:rFonts w:ascii="Arial" w:hAnsi="Arial" w:cs="Arial"/>
                <w:b/>
                <w:sz w:val="21"/>
                <w:szCs w:val="21"/>
              </w:rPr>
              <w:t>Safeguarding</w:t>
            </w:r>
          </w:p>
        </w:tc>
        <w:tc>
          <w:tcPr>
            <w:tcW w:w="8505" w:type="dxa"/>
          </w:tcPr>
          <w:p w:rsidR="008833A0" w:rsidRPr="001143AB" w:rsidRDefault="008833A0" w:rsidP="008833A0">
            <w:pPr>
              <w:spacing w:before="120"/>
              <w:rPr>
                <w:rFonts w:ascii="Arial" w:hAnsi="Arial" w:cs="Arial"/>
                <w:szCs w:val="22"/>
              </w:rPr>
            </w:pPr>
            <w:r w:rsidRPr="001143AB">
              <w:rPr>
                <w:rFonts w:ascii="Arial" w:hAnsi="Arial" w:cs="Arial"/>
                <w:szCs w:val="22"/>
              </w:rPr>
              <w:t xml:space="preserve">The College and all its personnel are committed to safeguarding and promoting the welfare of children, young persons and vulnerable adults.  This position is subject to an Enhanced </w:t>
            </w:r>
            <w:r w:rsidR="00905B87" w:rsidRPr="001143AB">
              <w:rPr>
                <w:rFonts w:ascii="Arial" w:hAnsi="Arial" w:cs="Arial"/>
                <w:szCs w:val="22"/>
              </w:rPr>
              <w:t xml:space="preserve">Disclosure and Barring Service </w:t>
            </w:r>
            <w:r w:rsidRPr="001143AB">
              <w:rPr>
                <w:rFonts w:ascii="Arial" w:hAnsi="Arial" w:cs="Arial"/>
                <w:szCs w:val="22"/>
              </w:rPr>
              <w:t>(</w:t>
            </w:r>
            <w:r w:rsidR="00905B87" w:rsidRPr="001143AB">
              <w:rPr>
                <w:rFonts w:ascii="Arial" w:hAnsi="Arial" w:cs="Arial"/>
                <w:szCs w:val="22"/>
              </w:rPr>
              <w:t>DBS</w:t>
            </w:r>
            <w:r w:rsidRPr="001143AB">
              <w:rPr>
                <w:rFonts w:ascii="Arial" w:hAnsi="Arial" w:cs="Arial"/>
                <w:szCs w:val="22"/>
              </w:rPr>
              <w:t xml:space="preserve">) check.  </w:t>
            </w:r>
          </w:p>
          <w:p w:rsidR="00905B87" w:rsidRPr="001143AB" w:rsidRDefault="008833A0" w:rsidP="00C73F6C">
            <w:pPr>
              <w:spacing w:before="120" w:after="120"/>
              <w:rPr>
                <w:rFonts w:ascii="Arial" w:hAnsi="Arial" w:cs="Arial"/>
                <w:szCs w:val="22"/>
                <w:lang w:eastAsia="en-US"/>
              </w:rPr>
            </w:pPr>
            <w:r w:rsidRPr="001143AB">
              <w:rPr>
                <w:rFonts w:ascii="Arial" w:hAnsi="Arial" w:cs="Arial"/>
                <w:szCs w:val="22"/>
              </w:rPr>
              <w:t xml:space="preserve">Where you have lived overseas in the last 5 years the College is required to </w:t>
            </w:r>
            <w:r w:rsidR="000F71FE" w:rsidRPr="001143AB">
              <w:rPr>
                <w:rFonts w:ascii="Arial" w:hAnsi="Arial" w:cs="Arial"/>
                <w:szCs w:val="22"/>
              </w:rPr>
              <w:t>evidence an</w:t>
            </w:r>
            <w:r w:rsidRPr="001143AB">
              <w:rPr>
                <w:rFonts w:ascii="Arial" w:hAnsi="Arial" w:cs="Arial"/>
                <w:szCs w:val="22"/>
              </w:rPr>
              <w:t xml:space="preserve"> overseas check in addition to the </w:t>
            </w:r>
            <w:r w:rsidR="00D8086A" w:rsidRPr="001143AB">
              <w:rPr>
                <w:rFonts w:ascii="Arial" w:hAnsi="Arial" w:cs="Arial"/>
                <w:szCs w:val="22"/>
              </w:rPr>
              <w:t>DBS</w:t>
            </w:r>
            <w:r w:rsidRPr="001143AB">
              <w:rPr>
                <w:rFonts w:ascii="Arial" w:hAnsi="Arial" w:cs="Arial"/>
                <w:szCs w:val="22"/>
              </w:rPr>
              <w:t xml:space="preserve"> check.  Please refer to </w:t>
            </w:r>
            <w:hyperlink r:id="rId11" w:history="1">
              <w:r w:rsidR="00D7284E" w:rsidRPr="001143AB">
                <w:rPr>
                  <w:rStyle w:val="Hyperlink"/>
                  <w:szCs w:val="22"/>
                </w:rPr>
                <w:t>https://www.gov.uk/governme</w:t>
              </w:r>
              <w:r w:rsidR="00D7284E" w:rsidRPr="001143AB">
                <w:rPr>
                  <w:rStyle w:val="Hyperlink"/>
                  <w:szCs w:val="22"/>
                </w:rPr>
                <w:t>n</w:t>
              </w:r>
              <w:r w:rsidR="00D7284E" w:rsidRPr="001143AB">
                <w:rPr>
                  <w:rStyle w:val="Hyperlink"/>
                  <w:szCs w:val="22"/>
                </w:rPr>
                <w:t>t/publications/criminal-records-checks-for-overseas-applicants</w:t>
              </w:r>
            </w:hyperlink>
            <w:r w:rsidRPr="001143AB">
              <w:rPr>
                <w:rFonts w:ascii="Arial" w:hAnsi="Arial" w:cs="Arial"/>
                <w:szCs w:val="22"/>
              </w:rPr>
              <w:t xml:space="preserve">  for further information as to how you can apply for a certificate of go</w:t>
            </w:r>
            <w:r w:rsidR="00B10068" w:rsidRPr="001143AB">
              <w:rPr>
                <w:rFonts w:ascii="Arial" w:hAnsi="Arial" w:cs="Arial"/>
                <w:szCs w:val="22"/>
              </w:rPr>
              <w:t>od character</w:t>
            </w:r>
            <w:r w:rsidRPr="001143AB">
              <w:rPr>
                <w:rFonts w:ascii="Arial" w:hAnsi="Arial" w:cs="Arial"/>
                <w:szCs w:val="22"/>
              </w:rPr>
              <w:t xml:space="preserve"> if you are appointed.  Where there is a charge applicants will be required to pay for this themselves.</w:t>
            </w:r>
          </w:p>
        </w:tc>
      </w:tr>
      <w:tr w:rsidR="00EC7571" w:rsidRPr="0026742B" w:rsidTr="00EC7571">
        <w:tblPrEx>
          <w:tblLook w:val="0000" w:firstRow="0" w:lastRow="0" w:firstColumn="0" w:lastColumn="0" w:noHBand="0" w:noVBand="0"/>
        </w:tblPrEx>
        <w:trPr>
          <w:cantSplit/>
        </w:trPr>
        <w:tc>
          <w:tcPr>
            <w:tcW w:w="1668" w:type="dxa"/>
          </w:tcPr>
          <w:p w:rsidR="00EC7571" w:rsidRPr="0026742B" w:rsidRDefault="00EC7571" w:rsidP="003718DF">
            <w:pPr>
              <w:rPr>
                <w:rFonts w:ascii="Arial" w:hAnsi="Arial" w:cs="Arial"/>
                <w:b/>
                <w:sz w:val="21"/>
                <w:szCs w:val="21"/>
              </w:rPr>
            </w:pPr>
            <w:r w:rsidRPr="0026742B">
              <w:rPr>
                <w:rFonts w:ascii="Arial" w:hAnsi="Arial" w:cs="Arial"/>
                <w:b/>
                <w:sz w:val="21"/>
                <w:szCs w:val="21"/>
              </w:rPr>
              <w:t>Equality and Diversity</w:t>
            </w:r>
          </w:p>
        </w:tc>
        <w:tc>
          <w:tcPr>
            <w:tcW w:w="8505" w:type="dxa"/>
          </w:tcPr>
          <w:p w:rsidR="00905B87" w:rsidRPr="001143AB" w:rsidRDefault="008833A0" w:rsidP="00C73F6C">
            <w:pPr>
              <w:spacing w:before="120" w:after="120"/>
              <w:rPr>
                <w:rFonts w:ascii="Arial" w:hAnsi="Arial" w:cs="Arial"/>
                <w:szCs w:val="22"/>
              </w:rPr>
            </w:pPr>
            <w:r w:rsidRPr="001143AB">
              <w:rPr>
                <w:rFonts w:ascii="Arial" w:hAnsi="Arial" w:cs="Arial"/>
                <w:szCs w:val="22"/>
              </w:rPr>
              <w:t>The College is an equal opportunities employer and staff, students, volunteers and workers are expected to respect the principles of open access and opportunity for all regardless of age, disability, gender identity, marital status, pregnancy and maternity, race, religion or belief, sex and sexual orientation.  Applications from members of the ethnic minorities would be particularly welcome as they are currently under represented in our workforce.</w:t>
            </w:r>
          </w:p>
        </w:tc>
      </w:tr>
      <w:tr w:rsidR="00EC7571" w:rsidRPr="0026742B" w:rsidTr="00EC7571">
        <w:tblPrEx>
          <w:tblLook w:val="0000" w:firstRow="0" w:lastRow="0" w:firstColumn="0" w:lastColumn="0" w:noHBand="0" w:noVBand="0"/>
        </w:tblPrEx>
        <w:trPr>
          <w:cantSplit/>
        </w:trPr>
        <w:tc>
          <w:tcPr>
            <w:tcW w:w="1668" w:type="dxa"/>
          </w:tcPr>
          <w:p w:rsidR="00EC7571" w:rsidRPr="0026742B" w:rsidRDefault="00EC7571" w:rsidP="003718DF">
            <w:pPr>
              <w:rPr>
                <w:rFonts w:ascii="Arial" w:hAnsi="Arial" w:cs="Arial"/>
                <w:b/>
                <w:sz w:val="21"/>
                <w:szCs w:val="21"/>
              </w:rPr>
            </w:pPr>
            <w:r w:rsidRPr="0026742B">
              <w:rPr>
                <w:rFonts w:ascii="Arial" w:hAnsi="Arial" w:cs="Arial"/>
                <w:b/>
                <w:sz w:val="21"/>
                <w:szCs w:val="21"/>
              </w:rPr>
              <w:lastRenderedPageBreak/>
              <w:t>Disability</w:t>
            </w:r>
          </w:p>
        </w:tc>
        <w:tc>
          <w:tcPr>
            <w:tcW w:w="8505" w:type="dxa"/>
          </w:tcPr>
          <w:p w:rsidR="00EC7571" w:rsidRPr="001143AB" w:rsidRDefault="00EC7571" w:rsidP="003718DF">
            <w:pPr>
              <w:spacing w:before="120"/>
              <w:rPr>
                <w:rFonts w:ascii="Arial" w:hAnsi="Arial" w:cs="Arial"/>
                <w:szCs w:val="22"/>
              </w:rPr>
            </w:pPr>
            <w:r w:rsidRPr="001143AB">
              <w:rPr>
                <w:rFonts w:ascii="Arial" w:hAnsi="Arial" w:cs="Arial"/>
                <w:szCs w:val="22"/>
              </w:rPr>
              <w:t>Where a disabled candidate is placed at a substantial disadvantage in comparison to a non-disabled applicant consideration will be given to any reasonable adjustments required to enable them to do the job after an offer of em</w:t>
            </w:r>
            <w:bookmarkStart w:id="0" w:name="_GoBack"/>
            <w:bookmarkEnd w:id="0"/>
            <w:r w:rsidRPr="001143AB">
              <w:rPr>
                <w:rFonts w:ascii="Arial" w:hAnsi="Arial" w:cs="Arial"/>
                <w:szCs w:val="22"/>
              </w:rPr>
              <w:t xml:space="preserve">ployment has been made.  </w:t>
            </w:r>
          </w:p>
          <w:p w:rsidR="00EC7571" w:rsidRPr="001143AB" w:rsidRDefault="00EC7571" w:rsidP="00C73F6C">
            <w:pPr>
              <w:spacing w:before="120" w:after="120"/>
              <w:rPr>
                <w:rFonts w:ascii="Arial" w:hAnsi="Arial" w:cs="Arial"/>
                <w:szCs w:val="22"/>
              </w:rPr>
            </w:pPr>
            <w:r w:rsidRPr="001143AB">
              <w:rPr>
                <w:rFonts w:ascii="Arial" w:hAnsi="Arial" w:cs="Arial"/>
                <w:szCs w:val="22"/>
              </w:rPr>
              <w:t xml:space="preserve">Personnel will discuss any reasonable adjustments required for the recruitment process with candidates shortlisted for interview.  </w:t>
            </w:r>
            <w:r w:rsidR="000F256C" w:rsidRPr="001143AB">
              <w:rPr>
                <w:rFonts w:ascii="Arial" w:hAnsi="Arial" w:cs="Arial"/>
                <w:szCs w:val="22"/>
              </w:rPr>
              <w:t xml:space="preserve">The selection process will include a short presentation to a small group of students.  </w:t>
            </w:r>
          </w:p>
        </w:tc>
      </w:tr>
    </w:tbl>
    <w:p w:rsidR="00C73F6C" w:rsidRDefault="00C73F6C" w:rsidP="00EB226F">
      <w:pPr>
        <w:rPr>
          <w:rFonts w:ascii="Arial" w:hAnsi="Arial"/>
          <w:b/>
          <w:sz w:val="21"/>
        </w:rPr>
      </w:pPr>
    </w:p>
    <w:sectPr w:rsidR="00C73F6C" w:rsidSect="00B60CF1">
      <w:footerReference w:type="even" r:id="rId12"/>
      <w:footerReference w:type="default" r:id="rId13"/>
      <w:footnotePr>
        <w:numRestart w:val="eachSect"/>
      </w:footnotePr>
      <w:pgSz w:w="11909" w:h="16834"/>
      <w:pgMar w:top="737" w:right="1077" w:bottom="737" w:left="1077"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BDB" w:rsidRDefault="00AB7BDB">
      <w:r>
        <w:separator/>
      </w:r>
    </w:p>
  </w:endnote>
  <w:endnote w:type="continuationSeparator" w:id="0">
    <w:p w:rsidR="00AB7BDB" w:rsidRDefault="00A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E5" w:rsidRDefault="00884DE5">
    <w:pPr>
      <w:pStyle w:val="Footer"/>
      <w:jc w:val="right"/>
      <w:rPr>
        <w:rFonts w:ascii="Arial" w:hAnsi="Arial"/>
        <w:i/>
        <w:sz w:val="12"/>
      </w:rPr>
    </w:pPr>
    <w:r>
      <w:rPr>
        <w:rFonts w:ascii="Arial" w:hAnsi="Arial"/>
        <w:i/>
        <w:snapToGrid w:val="0"/>
        <w:sz w:val="12"/>
        <w:lang w:eastAsia="en-US"/>
      </w:rPr>
      <w:fldChar w:fldCharType="begin"/>
    </w:r>
    <w:r>
      <w:rPr>
        <w:rFonts w:ascii="Arial" w:hAnsi="Arial"/>
        <w:i/>
        <w:snapToGrid w:val="0"/>
        <w:sz w:val="12"/>
        <w:lang w:eastAsia="en-US"/>
      </w:rPr>
      <w:instrText xml:space="preserve"> FILENAME \p </w:instrText>
    </w:r>
    <w:r>
      <w:rPr>
        <w:rFonts w:ascii="Arial" w:hAnsi="Arial"/>
        <w:i/>
        <w:snapToGrid w:val="0"/>
        <w:sz w:val="12"/>
        <w:lang w:eastAsia="en-US"/>
      </w:rPr>
      <w:fldChar w:fldCharType="separate"/>
    </w:r>
    <w:r w:rsidR="0009613F">
      <w:rPr>
        <w:rFonts w:ascii="Arial" w:hAnsi="Arial"/>
        <w:i/>
        <w:noProof/>
        <w:snapToGrid w:val="0"/>
        <w:sz w:val="12"/>
        <w:lang w:eastAsia="en-US"/>
      </w:rPr>
      <w:t>C:\Users\w0423\Downloads\Pastoral Tutor 0319.doc</w:t>
    </w:r>
    <w:r>
      <w:rPr>
        <w:rFonts w:ascii="Arial" w:hAnsi="Arial"/>
        <w:i/>
        <w:snapToGrid w:val="0"/>
        <w:sz w:val="12"/>
        <w:lang w:eastAsia="en-US"/>
      </w:rPr>
      <w:fldChar w:fldCharType="end"/>
    </w:r>
    <w:r>
      <w:rPr>
        <w:rFonts w:ascii="Arial" w:hAnsi="Arial"/>
        <w:i/>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E5" w:rsidRDefault="00884DE5">
    <w:pPr>
      <w:pStyle w:val="Footer"/>
      <w:jc w:val="right"/>
      <w:rPr>
        <w:sz w:val="12"/>
      </w:rPr>
    </w:pPr>
    <w:r>
      <w:rPr>
        <w:snapToGrid w:val="0"/>
        <w:sz w:val="12"/>
        <w:lang w:eastAsia="en-US"/>
      </w:rPr>
      <w:fldChar w:fldCharType="begin"/>
    </w:r>
    <w:r>
      <w:rPr>
        <w:snapToGrid w:val="0"/>
        <w:sz w:val="12"/>
        <w:lang w:eastAsia="en-US"/>
      </w:rPr>
      <w:instrText xml:space="preserve"> FILENAME \p </w:instrText>
    </w:r>
    <w:r>
      <w:rPr>
        <w:snapToGrid w:val="0"/>
        <w:sz w:val="12"/>
        <w:lang w:eastAsia="en-US"/>
      </w:rPr>
      <w:fldChar w:fldCharType="separate"/>
    </w:r>
    <w:r w:rsidR="0009613F">
      <w:rPr>
        <w:noProof/>
        <w:snapToGrid w:val="0"/>
        <w:sz w:val="12"/>
        <w:lang w:eastAsia="en-US"/>
      </w:rPr>
      <w:t>C:\Users\w0423\Downloads\Pastoral Tutor 0319.doc</w:t>
    </w:r>
    <w:r>
      <w:rPr>
        <w:snapToGrid w:val="0"/>
        <w:sz w:val="1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BDB" w:rsidRDefault="00AB7BDB">
      <w:r>
        <w:separator/>
      </w:r>
    </w:p>
  </w:footnote>
  <w:footnote w:type="continuationSeparator" w:id="0">
    <w:p w:rsidR="00AB7BDB" w:rsidRDefault="00AB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AA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CF12E4F"/>
    <w:multiLevelType w:val="hybridMultilevel"/>
    <w:tmpl w:val="ADE6B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3442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F740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18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8E12A2"/>
    <w:multiLevelType w:val="multilevel"/>
    <w:tmpl w:val="9A9E19F2"/>
    <w:lvl w:ilvl="0">
      <w:start w:val="1"/>
      <w:numFmt w:val="decimal"/>
      <w:lvlText w:val="%1."/>
      <w:lvlJc w:val="left"/>
      <w:pPr>
        <w:ind w:left="720" w:hanging="360"/>
      </w:pPr>
    </w:lvl>
    <w:lvl w:ilvl="1">
      <w:start w:val="1"/>
      <w:numFmt w:val="decimal"/>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74A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6B6703"/>
    <w:multiLevelType w:val="hybridMultilevel"/>
    <w:tmpl w:val="473C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E7D9F"/>
    <w:multiLevelType w:val="hybridMultilevel"/>
    <w:tmpl w:val="3160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33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B65E9"/>
    <w:multiLevelType w:val="hybridMultilevel"/>
    <w:tmpl w:val="86280C0A"/>
    <w:lvl w:ilvl="0" w:tplc="169A598C">
      <w:start w:val="1"/>
      <w:numFmt w:val="decimal"/>
      <w:lvlText w:val="%1."/>
      <w:lvlJc w:val="left"/>
      <w:pPr>
        <w:tabs>
          <w:tab w:val="num" w:pos="786"/>
        </w:tabs>
        <w:ind w:left="786" w:hanging="360"/>
      </w:pPr>
      <w:rPr>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938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CA1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563571"/>
    <w:multiLevelType w:val="hybridMultilevel"/>
    <w:tmpl w:val="518868F6"/>
    <w:lvl w:ilvl="0" w:tplc="CABC367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00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415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186AD0"/>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747A2E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66540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8744395"/>
    <w:multiLevelType w:val="hybridMultilevel"/>
    <w:tmpl w:val="EAC2A6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6"/>
  </w:num>
  <w:num w:numId="8">
    <w:abstractNumId w:val="4"/>
  </w:num>
  <w:num w:numId="9">
    <w:abstractNumId w:val="15"/>
  </w:num>
  <w:num w:numId="10">
    <w:abstractNumId w:val="12"/>
  </w:num>
  <w:num w:numId="11">
    <w:abstractNumId w:val="17"/>
  </w:num>
  <w:num w:numId="12">
    <w:abstractNumId w:val="11"/>
  </w:num>
  <w:num w:numId="13">
    <w:abstractNumId w:val="3"/>
  </w:num>
  <w:num w:numId="14">
    <w:abstractNumId w:val="6"/>
  </w:num>
  <w:num w:numId="15">
    <w:abstractNumId w:val="14"/>
  </w:num>
  <w:num w:numId="16">
    <w:abstractNumId w:val="9"/>
  </w:num>
  <w:num w:numId="17">
    <w:abstractNumId w:val="18"/>
    <w:lvlOverride w:ilvl="0">
      <w:startOverride w:val="1"/>
    </w:lvlOverride>
  </w:num>
  <w:num w:numId="18">
    <w:abstractNumId w:val="1"/>
  </w:num>
  <w:num w:numId="19">
    <w:abstractNumId w:val="19"/>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C5"/>
    <w:rsid w:val="00004060"/>
    <w:rsid w:val="000077F2"/>
    <w:rsid w:val="00022403"/>
    <w:rsid w:val="00042902"/>
    <w:rsid w:val="000534B0"/>
    <w:rsid w:val="00067B16"/>
    <w:rsid w:val="00095D18"/>
    <w:rsid w:val="0009613F"/>
    <w:rsid w:val="000C0E8D"/>
    <w:rsid w:val="000C7361"/>
    <w:rsid w:val="000D7A71"/>
    <w:rsid w:val="000F256C"/>
    <w:rsid w:val="000F71FE"/>
    <w:rsid w:val="0010701F"/>
    <w:rsid w:val="001143AB"/>
    <w:rsid w:val="00123953"/>
    <w:rsid w:val="00136CF6"/>
    <w:rsid w:val="00166F75"/>
    <w:rsid w:val="001A1E6D"/>
    <w:rsid w:val="001D6BFA"/>
    <w:rsid w:val="00202253"/>
    <w:rsid w:val="00205C86"/>
    <w:rsid w:val="00213CFD"/>
    <w:rsid w:val="00213FD4"/>
    <w:rsid w:val="00223E4C"/>
    <w:rsid w:val="00250D0D"/>
    <w:rsid w:val="00253F1F"/>
    <w:rsid w:val="00254AEC"/>
    <w:rsid w:val="002556C5"/>
    <w:rsid w:val="00267A40"/>
    <w:rsid w:val="00290A5E"/>
    <w:rsid w:val="00297455"/>
    <w:rsid w:val="002B1F90"/>
    <w:rsid w:val="002C6CEB"/>
    <w:rsid w:val="002D0EE2"/>
    <w:rsid w:val="002D258F"/>
    <w:rsid w:val="002D2A7C"/>
    <w:rsid w:val="002E450C"/>
    <w:rsid w:val="00335E43"/>
    <w:rsid w:val="003620FA"/>
    <w:rsid w:val="003651D5"/>
    <w:rsid w:val="003718DF"/>
    <w:rsid w:val="00372DD9"/>
    <w:rsid w:val="003739D7"/>
    <w:rsid w:val="00391C8F"/>
    <w:rsid w:val="003D2D64"/>
    <w:rsid w:val="003E16B0"/>
    <w:rsid w:val="003F6F0D"/>
    <w:rsid w:val="00451392"/>
    <w:rsid w:val="00453774"/>
    <w:rsid w:val="00481DEB"/>
    <w:rsid w:val="004858E7"/>
    <w:rsid w:val="00486F51"/>
    <w:rsid w:val="00497B2E"/>
    <w:rsid w:val="004A0B43"/>
    <w:rsid w:val="004A5950"/>
    <w:rsid w:val="004C78B4"/>
    <w:rsid w:val="004D3A03"/>
    <w:rsid w:val="004E47D9"/>
    <w:rsid w:val="004E56FD"/>
    <w:rsid w:val="004F546F"/>
    <w:rsid w:val="00501589"/>
    <w:rsid w:val="005063D7"/>
    <w:rsid w:val="005070A0"/>
    <w:rsid w:val="0053777C"/>
    <w:rsid w:val="005604B7"/>
    <w:rsid w:val="00597498"/>
    <w:rsid w:val="00597DC5"/>
    <w:rsid w:val="005A52D2"/>
    <w:rsid w:val="005B10C5"/>
    <w:rsid w:val="005B3EB6"/>
    <w:rsid w:val="005B4FFC"/>
    <w:rsid w:val="005B5744"/>
    <w:rsid w:val="005C3D00"/>
    <w:rsid w:val="005C777F"/>
    <w:rsid w:val="005E5ED9"/>
    <w:rsid w:val="005E6C8F"/>
    <w:rsid w:val="006118EB"/>
    <w:rsid w:val="00617388"/>
    <w:rsid w:val="00621DBE"/>
    <w:rsid w:val="00623B1A"/>
    <w:rsid w:val="00644BBF"/>
    <w:rsid w:val="006526FE"/>
    <w:rsid w:val="006615CB"/>
    <w:rsid w:val="006815F2"/>
    <w:rsid w:val="00692107"/>
    <w:rsid w:val="00695622"/>
    <w:rsid w:val="00695D55"/>
    <w:rsid w:val="00696AA7"/>
    <w:rsid w:val="006C0887"/>
    <w:rsid w:val="006E77EB"/>
    <w:rsid w:val="006F74DA"/>
    <w:rsid w:val="00712489"/>
    <w:rsid w:val="00733E42"/>
    <w:rsid w:val="00736ED0"/>
    <w:rsid w:val="00743B5D"/>
    <w:rsid w:val="007817E9"/>
    <w:rsid w:val="00784620"/>
    <w:rsid w:val="007B2E54"/>
    <w:rsid w:val="007B36B7"/>
    <w:rsid w:val="007B646A"/>
    <w:rsid w:val="007C6F0C"/>
    <w:rsid w:val="007D16B6"/>
    <w:rsid w:val="007D2D59"/>
    <w:rsid w:val="007D416B"/>
    <w:rsid w:val="007D7B5E"/>
    <w:rsid w:val="007E7452"/>
    <w:rsid w:val="008005E9"/>
    <w:rsid w:val="008231CC"/>
    <w:rsid w:val="00825994"/>
    <w:rsid w:val="008821FF"/>
    <w:rsid w:val="008833A0"/>
    <w:rsid w:val="00884DE5"/>
    <w:rsid w:val="00893790"/>
    <w:rsid w:val="008B10B6"/>
    <w:rsid w:val="008C41B6"/>
    <w:rsid w:val="008F2CF3"/>
    <w:rsid w:val="00905B87"/>
    <w:rsid w:val="00921A93"/>
    <w:rsid w:val="00931096"/>
    <w:rsid w:val="00932F64"/>
    <w:rsid w:val="00962E83"/>
    <w:rsid w:val="00994F5A"/>
    <w:rsid w:val="009A7B72"/>
    <w:rsid w:val="009B6856"/>
    <w:rsid w:val="009C1D7F"/>
    <w:rsid w:val="009E4B4C"/>
    <w:rsid w:val="009E586E"/>
    <w:rsid w:val="00A30B64"/>
    <w:rsid w:val="00A40AF6"/>
    <w:rsid w:val="00A44D18"/>
    <w:rsid w:val="00A52287"/>
    <w:rsid w:val="00A56553"/>
    <w:rsid w:val="00A66337"/>
    <w:rsid w:val="00A665B8"/>
    <w:rsid w:val="00A8038D"/>
    <w:rsid w:val="00A94B7E"/>
    <w:rsid w:val="00AA2C96"/>
    <w:rsid w:val="00AA6853"/>
    <w:rsid w:val="00AB7BDB"/>
    <w:rsid w:val="00AC320A"/>
    <w:rsid w:val="00AC3EC1"/>
    <w:rsid w:val="00AC3FB1"/>
    <w:rsid w:val="00AE7668"/>
    <w:rsid w:val="00B10068"/>
    <w:rsid w:val="00B1417A"/>
    <w:rsid w:val="00B23924"/>
    <w:rsid w:val="00B37759"/>
    <w:rsid w:val="00B60CF1"/>
    <w:rsid w:val="00B67A7C"/>
    <w:rsid w:val="00B7398F"/>
    <w:rsid w:val="00BB0F66"/>
    <w:rsid w:val="00BB36B5"/>
    <w:rsid w:val="00BC638D"/>
    <w:rsid w:val="00BE25F2"/>
    <w:rsid w:val="00BF1263"/>
    <w:rsid w:val="00BF2E2F"/>
    <w:rsid w:val="00C23267"/>
    <w:rsid w:val="00C24F74"/>
    <w:rsid w:val="00C326E9"/>
    <w:rsid w:val="00C37FAC"/>
    <w:rsid w:val="00C457BE"/>
    <w:rsid w:val="00C64290"/>
    <w:rsid w:val="00C73F6C"/>
    <w:rsid w:val="00C764B2"/>
    <w:rsid w:val="00C87BB0"/>
    <w:rsid w:val="00C94058"/>
    <w:rsid w:val="00CA06B6"/>
    <w:rsid w:val="00CB40A1"/>
    <w:rsid w:val="00CC38FC"/>
    <w:rsid w:val="00CD797F"/>
    <w:rsid w:val="00CF3150"/>
    <w:rsid w:val="00D04B64"/>
    <w:rsid w:val="00D35B0E"/>
    <w:rsid w:val="00D46FBB"/>
    <w:rsid w:val="00D70A7F"/>
    <w:rsid w:val="00D7284E"/>
    <w:rsid w:val="00D728CB"/>
    <w:rsid w:val="00D8086A"/>
    <w:rsid w:val="00D80FBD"/>
    <w:rsid w:val="00D85E16"/>
    <w:rsid w:val="00D92654"/>
    <w:rsid w:val="00DA115E"/>
    <w:rsid w:val="00DA227D"/>
    <w:rsid w:val="00DA699C"/>
    <w:rsid w:val="00DD2B1C"/>
    <w:rsid w:val="00DD574A"/>
    <w:rsid w:val="00E172F2"/>
    <w:rsid w:val="00E222EB"/>
    <w:rsid w:val="00E358ED"/>
    <w:rsid w:val="00E36BBC"/>
    <w:rsid w:val="00E3706E"/>
    <w:rsid w:val="00E6699F"/>
    <w:rsid w:val="00E67A83"/>
    <w:rsid w:val="00E710C1"/>
    <w:rsid w:val="00E71BAB"/>
    <w:rsid w:val="00E72DD9"/>
    <w:rsid w:val="00E818A4"/>
    <w:rsid w:val="00E84F83"/>
    <w:rsid w:val="00EB226F"/>
    <w:rsid w:val="00EB35CF"/>
    <w:rsid w:val="00EC1654"/>
    <w:rsid w:val="00EC7571"/>
    <w:rsid w:val="00ED6240"/>
    <w:rsid w:val="00EE29A9"/>
    <w:rsid w:val="00F1750A"/>
    <w:rsid w:val="00F33E20"/>
    <w:rsid w:val="00F43C84"/>
    <w:rsid w:val="00F645F8"/>
    <w:rsid w:val="00F67CF4"/>
    <w:rsid w:val="00F767D2"/>
    <w:rsid w:val="00F84DF3"/>
    <w:rsid w:val="00F901CC"/>
    <w:rsid w:val="00F94F56"/>
    <w:rsid w:val="00FA385C"/>
    <w:rsid w:val="00FD201C"/>
    <w:rsid w:val="00FE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7E5E64-8CE6-4B00-A3A0-FCB8CE0E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2"/>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rsid w:val="00B2392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C7571"/>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rFonts w:ascii="Arial" w:hAnsi="Arial"/>
      <w:lang w:val="x-none" w:eastAsia="x-none"/>
    </w:rPr>
  </w:style>
  <w:style w:type="paragraph" w:styleId="Title">
    <w:name w:val="Title"/>
    <w:basedOn w:val="Normal"/>
    <w:link w:val="TitleChar"/>
    <w:qFormat/>
    <w:pPr>
      <w:jc w:val="center"/>
    </w:pPr>
    <w:rPr>
      <w:rFonts w:ascii="Arial" w:hAnsi="Arial"/>
      <w:b/>
      <w:lang w:val="x-none" w:eastAsia="x-none"/>
    </w:rPr>
  </w:style>
  <w:style w:type="character" w:styleId="Hyperlink">
    <w:name w:val="Hyperlink"/>
    <w:rPr>
      <w:color w:val="0000FF"/>
      <w:u w:val="single"/>
    </w:rPr>
  </w:style>
  <w:style w:type="paragraph" w:styleId="ListParagraph">
    <w:name w:val="List Paragraph"/>
    <w:basedOn w:val="Normal"/>
    <w:uiPriority w:val="34"/>
    <w:qFormat/>
    <w:rsid w:val="00B60CF1"/>
    <w:pPr>
      <w:spacing w:after="200" w:line="276" w:lineRule="auto"/>
      <w:ind w:left="720"/>
      <w:contextualSpacing/>
    </w:pPr>
    <w:rPr>
      <w:rFonts w:ascii="Calibri" w:eastAsia="Calibri" w:hAnsi="Calibri"/>
      <w:szCs w:val="22"/>
      <w:lang w:val="en-US" w:eastAsia="en-US"/>
    </w:rPr>
  </w:style>
  <w:style w:type="character" w:customStyle="1" w:styleId="Heading3Char">
    <w:name w:val="Heading 3 Char"/>
    <w:link w:val="Heading3"/>
    <w:uiPriority w:val="9"/>
    <w:semiHidden/>
    <w:rsid w:val="00EC7571"/>
    <w:rPr>
      <w:rFonts w:ascii="Cambria" w:eastAsia="Times New Roman" w:hAnsi="Cambria" w:cs="Times New Roman"/>
      <w:b/>
      <w:bCs/>
      <w:sz w:val="26"/>
      <w:szCs w:val="26"/>
    </w:rPr>
  </w:style>
  <w:style w:type="character" w:customStyle="1" w:styleId="TitleChar">
    <w:name w:val="Title Char"/>
    <w:link w:val="Title"/>
    <w:rsid w:val="008833A0"/>
    <w:rPr>
      <w:rFonts w:ascii="Arial" w:hAnsi="Arial"/>
      <w:b/>
      <w:sz w:val="22"/>
    </w:rPr>
  </w:style>
  <w:style w:type="paragraph" w:styleId="Caption">
    <w:name w:val="caption"/>
    <w:basedOn w:val="Normal"/>
    <w:next w:val="Normal"/>
    <w:qFormat/>
    <w:rsid w:val="008833A0"/>
    <w:pPr>
      <w:jc w:val="center"/>
    </w:pPr>
    <w:rPr>
      <w:rFonts w:ascii="Arial" w:hAnsi="Arial"/>
      <w:b/>
      <w:i/>
      <w:lang w:eastAsia="en-US"/>
    </w:rPr>
  </w:style>
  <w:style w:type="character" w:customStyle="1" w:styleId="BodyTextChar">
    <w:name w:val="Body Text Char"/>
    <w:link w:val="BodyText"/>
    <w:rsid w:val="008833A0"/>
    <w:rPr>
      <w:rFonts w:ascii="Arial" w:hAnsi="Arial"/>
      <w:sz w:val="22"/>
    </w:rPr>
  </w:style>
  <w:style w:type="character" w:styleId="FollowedHyperlink">
    <w:name w:val="FollowedHyperlink"/>
    <w:uiPriority w:val="99"/>
    <w:semiHidden/>
    <w:unhideWhenUsed/>
    <w:rsid w:val="00D8086A"/>
    <w:rPr>
      <w:color w:val="800080"/>
      <w:u w:val="single"/>
    </w:rPr>
  </w:style>
  <w:style w:type="paragraph" w:styleId="BalloonText">
    <w:name w:val="Balloon Text"/>
    <w:basedOn w:val="Normal"/>
    <w:link w:val="BalloonTextChar"/>
    <w:uiPriority w:val="99"/>
    <w:semiHidden/>
    <w:unhideWhenUsed/>
    <w:rsid w:val="00F43C84"/>
    <w:rPr>
      <w:rFonts w:ascii="Tahoma" w:hAnsi="Tahoma" w:cs="Tahoma"/>
      <w:sz w:val="16"/>
      <w:szCs w:val="16"/>
    </w:rPr>
  </w:style>
  <w:style w:type="character" w:customStyle="1" w:styleId="BalloonTextChar">
    <w:name w:val="Balloon Text Char"/>
    <w:link w:val="BalloonText"/>
    <w:uiPriority w:val="99"/>
    <w:semiHidden/>
    <w:rsid w:val="00F43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64">
      <w:bodyDiv w:val="1"/>
      <w:marLeft w:val="0"/>
      <w:marRight w:val="0"/>
      <w:marTop w:val="0"/>
      <w:marBottom w:val="0"/>
      <w:divBdr>
        <w:top w:val="none" w:sz="0" w:space="0" w:color="auto"/>
        <w:left w:val="none" w:sz="0" w:space="0" w:color="auto"/>
        <w:bottom w:val="none" w:sz="0" w:space="0" w:color="auto"/>
        <w:right w:val="none" w:sz="0" w:space="0" w:color="auto"/>
      </w:divBdr>
    </w:div>
    <w:div w:id="304898551">
      <w:bodyDiv w:val="1"/>
      <w:marLeft w:val="0"/>
      <w:marRight w:val="0"/>
      <w:marTop w:val="0"/>
      <w:marBottom w:val="0"/>
      <w:divBdr>
        <w:top w:val="none" w:sz="0" w:space="0" w:color="auto"/>
        <w:left w:val="none" w:sz="0" w:space="0" w:color="auto"/>
        <w:bottom w:val="none" w:sz="0" w:space="0" w:color="auto"/>
        <w:right w:val="none" w:sz="0" w:space="0" w:color="auto"/>
      </w:divBdr>
    </w:div>
    <w:div w:id="1033114606">
      <w:bodyDiv w:val="1"/>
      <w:marLeft w:val="0"/>
      <w:marRight w:val="0"/>
      <w:marTop w:val="0"/>
      <w:marBottom w:val="0"/>
      <w:divBdr>
        <w:top w:val="none" w:sz="0" w:space="0" w:color="auto"/>
        <w:left w:val="none" w:sz="0" w:space="0" w:color="auto"/>
        <w:bottom w:val="none" w:sz="0" w:space="0" w:color="auto"/>
        <w:right w:val="none" w:sz="0" w:space="0" w:color="auto"/>
      </w:divBdr>
    </w:div>
    <w:div w:id="1705517945">
      <w:bodyDiv w:val="1"/>
      <w:marLeft w:val="0"/>
      <w:marRight w:val="0"/>
      <w:marTop w:val="0"/>
      <w:marBottom w:val="0"/>
      <w:divBdr>
        <w:top w:val="none" w:sz="0" w:space="0" w:color="auto"/>
        <w:left w:val="none" w:sz="0" w:space="0" w:color="auto"/>
        <w:bottom w:val="none" w:sz="0" w:space="0" w:color="auto"/>
        <w:right w:val="none" w:sz="0" w:space="0" w:color="auto"/>
      </w:divBdr>
    </w:div>
    <w:div w:id="1724787230">
      <w:bodyDiv w:val="1"/>
      <w:marLeft w:val="0"/>
      <w:marRight w:val="0"/>
      <w:marTop w:val="0"/>
      <w:marBottom w:val="0"/>
      <w:divBdr>
        <w:top w:val="none" w:sz="0" w:space="0" w:color="auto"/>
        <w:left w:val="none" w:sz="0" w:space="0" w:color="auto"/>
        <w:bottom w:val="none" w:sz="0" w:space="0" w:color="auto"/>
        <w:right w:val="none" w:sz="0" w:space="0" w:color="auto"/>
      </w:divBdr>
    </w:div>
    <w:div w:id="1901360623">
      <w:bodyDiv w:val="1"/>
      <w:marLeft w:val="0"/>
      <w:marRight w:val="0"/>
      <w:marTop w:val="0"/>
      <w:marBottom w:val="0"/>
      <w:divBdr>
        <w:top w:val="none" w:sz="0" w:space="0" w:color="auto"/>
        <w:left w:val="none" w:sz="0" w:space="0" w:color="auto"/>
        <w:bottom w:val="none" w:sz="0" w:space="0" w:color="auto"/>
        <w:right w:val="none" w:sz="0" w:space="0" w:color="auto"/>
      </w:divBdr>
    </w:div>
    <w:div w:id="20787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http://www.lgp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867E-1E80-4519-BBFC-052D6F86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WORCESTER SIXTH FORM COLLEGE</vt:lpstr>
    </vt:vector>
  </TitlesOfParts>
  <Company>wsfc</Company>
  <LinksUpToDate>false</LinksUpToDate>
  <CharactersWithSpaces>3627</CharactersWithSpaces>
  <SharedDoc>false</SharedDoc>
  <HLinks>
    <vt:vector size="36" baseType="variant">
      <vt:variant>
        <vt:i4>6815804</vt:i4>
      </vt:variant>
      <vt:variant>
        <vt:i4>15</vt:i4>
      </vt:variant>
      <vt:variant>
        <vt:i4>0</vt:i4>
      </vt:variant>
      <vt:variant>
        <vt:i4>5</vt:i4>
      </vt:variant>
      <vt:variant>
        <vt:lpwstr>https://www.gov.uk/government/publications/criminal-records-checks-for-overseas-applicants</vt:lpwstr>
      </vt:variant>
      <vt:variant>
        <vt:lpwstr/>
      </vt:variant>
      <vt:variant>
        <vt:i4>262153</vt:i4>
      </vt:variant>
      <vt:variant>
        <vt:i4>12</vt:i4>
      </vt:variant>
      <vt:variant>
        <vt:i4>0</vt:i4>
      </vt:variant>
      <vt:variant>
        <vt:i4>5</vt:i4>
      </vt:variant>
      <vt:variant>
        <vt:lpwstr>http:///</vt:lpwstr>
      </vt:variant>
      <vt:variant>
        <vt:lpwstr/>
      </vt:variant>
      <vt:variant>
        <vt:i4>3014713</vt:i4>
      </vt:variant>
      <vt:variant>
        <vt:i4>9</vt:i4>
      </vt:variant>
      <vt:variant>
        <vt:i4>0</vt:i4>
      </vt:variant>
      <vt:variant>
        <vt:i4>5</vt:i4>
      </vt:variant>
      <vt:variant>
        <vt:lpwstr>http://www.lgps.org.uk/</vt:lpwstr>
      </vt:variant>
      <vt:variant>
        <vt:lpwstr/>
      </vt:variant>
      <vt:variant>
        <vt:i4>4849704</vt:i4>
      </vt:variant>
      <vt:variant>
        <vt:i4>6</vt:i4>
      </vt:variant>
      <vt:variant>
        <vt:i4>0</vt:i4>
      </vt:variant>
      <vt:variant>
        <vt:i4>5</vt:i4>
      </vt:variant>
      <vt:variant>
        <vt:lpwstr>mailto:recruitment@wsfc.ac.uk</vt:lpwstr>
      </vt:variant>
      <vt:variant>
        <vt:lpwstr/>
      </vt:variant>
      <vt:variant>
        <vt:i4>2949220</vt:i4>
      </vt:variant>
      <vt:variant>
        <vt:i4>3</vt:i4>
      </vt:variant>
      <vt:variant>
        <vt:i4>0</vt:i4>
      </vt:variant>
      <vt:variant>
        <vt:i4>5</vt:i4>
      </vt:variant>
      <vt:variant>
        <vt:lpwstr>http://www.wsfc.ac.uk/</vt:lpwstr>
      </vt:variant>
      <vt:variant>
        <vt:lpwstr/>
      </vt:variant>
      <vt:variant>
        <vt:i4>2949220</vt:i4>
      </vt:variant>
      <vt:variant>
        <vt:i4>0</vt:i4>
      </vt:variant>
      <vt:variant>
        <vt:i4>0</vt:i4>
      </vt:variant>
      <vt:variant>
        <vt:i4>5</vt:i4>
      </vt:variant>
      <vt:variant>
        <vt:lpwstr>http://www.wsfc.ac.uk/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SIXTH FORM COLLEGE</dc:title>
  <dc:subject/>
  <dc:creator>wsfc</dc:creator>
  <cp:keywords/>
  <cp:lastModifiedBy>Hayley Ashby</cp:lastModifiedBy>
  <cp:revision>3</cp:revision>
  <cp:lastPrinted>2019-05-02T14:14:00Z</cp:lastPrinted>
  <dcterms:created xsi:type="dcterms:W3CDTF">2021-03-15T13:19:00Z</dcterms:created>
  <dcterms:modified xsi:type="dcterms:W3CDTF">2021-03-15T13:21:00Z</dcterms:modified>
</cp:coreProperties>
</file>