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59"/>
        <w:gridCol w:w="1487"/>
        <w:gridCol w:w="1774"/>
        <w:gridCol w:w="2498"/>
        <w:gridCol w:w="2886"/>
      </w:tblGrid>
      <w:tr w:rsidR="00E2720A" w:rsidRPr="00E2720A" w14:paraId="114DA37C" w14:textId="77777777" w:rsidTr="00E2720A">
        <w:trPr>
          <w:trHeight w:val="419"/>
        </w:trPr>
        <w:tc>
          <w:tcPr>
            <w:tcW w:w="5004" w:type="dxa"/>
            <w:gridSpan w:val="3"/>
          </w:tcPr>
          <w:p w14:paraId="27B6226E" w14:textId="2BABFE54" w:rsidR="00E2720A" w:rsidRPr="00E2720A" w:rsidRDefault="009C1D39" w:rsidP="00E2720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Biology</w:t>
            </w:r>
          </w:p>
          <w:p w14:paraId="20D66F77" w14:textId="77777777" w:rsidR="00E2720A" w:rsidRPr="00E2720A" w:rsidRDefault="00E2720A" w:rsidP="00E2720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E2720A">
              <w:rPr>
                <w:rFonts w:asciiTheme="minorHAnsi" w:hAnsiTheme="minorHAnsi" w:cstheme="minorHAnsi"/>
                <w:sz w:val="36"/>
                <w:szCs w:val="36"/>
              </w:rPr>
              <w:t xml:space="preserve">FULLBROOK   </w:t>
            </w:r>
            <w:r w:rsidRPr="00E2720A">
              <w:rPr>
                <w:rFonts w:asciiTheme="minorHAnsi" w:hAnsiTheme="minorHAnsi" w:cstheme="minorHAnsi"/>
                <w:b/>
                <w:sz w:val="36"/>
                <w:szCs w:val="36"/>
              </w:rPr>
              <w:t>Job Profile</w:t>
            </w:r>
          </w:p>
        </w:tc>
        <w:tc>
          <w:tcPr>
            <w:tcW w:w="2576" w:type="dxa"/>
            <w:shd w:val="clear" w:color="auto" w:fill="auto"/>
          </w:tcPr>
          <w:p w14:paraId="1C3970E6" w14:textId="77777777" w:rsidR="00E2720A" w:rsidRDefault="009C1D39" w:rsidP="00E2720A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Subject Leader</w:t>
            </w:r>
          </w:p>
          <w:p w14:paraId="672A6659" w14:textId="62ACF33B" w:rsidR="009C1D39" w:rsidRPr="00E2720A" w:rsidRDefault="009C1D39" w:rsidP="00E272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36"/>
                <w:szCs w:val="36"/>
              </w:rPr>
              <w:t>Biology</w:t>
            </w:r>
          </w:p>
        </w:tc>
        <w:tc>
          <w:tcPr>
            <w:tcW w:w="2886" w:type="dxa"/>
            <w:vMerge w:val="restart"/>
            <w:vAlign w:val="center"/>
          </w:tcPr>
          <w:p w14:paraId="0DFAE634" w14:textId="7E5D7F50" w:rsidR="00E2720A" w:rsidRPr="00E2720A" w:rsidRDefault="00E2720A" w:rsidP="00E272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20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F00DC0D" wp14:editId="2278D73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-1068705</wp:posOffset>
                  </wp:positionV>
                  <wp:extent cx="1694180" cy="835660"/>
                  <wp:effectExtent l="0" t="0" r="1270" b="2540"/>
                  <wp:wrapSquare wrapText="bothSides"/>
                  <wp:docPr id="2" name="Picture 2" descr="T:\General Teaching\New Fullbrook Branding\Logo Formats\FB logo un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General Teaching\New Fullbrook Branding\Logo Formats\FB logo un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720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2720A" w:rsidRPr="00E2720A" w14:paraId="3CB4E0C9" w14:textId="77777777" w:rsidTr="00E2720A">
        <w:trPr>
          <w:trHeight w:val="408"/>
        </w:trPr>
        <w:tc>
          <w:tcPr>
            <w:tcW w:w="1609" w:type="dxa"/>
            <w:vAlign w:val="center"/>
          </w:tcPr>
          <w:p w14:paraId="0D909AED" w14:textId="46EA72D2" w:rsidR="00E2720A" w:rsidRPr="00E2720A" w:rsidRDefault="00E2720A" w:rsidP="00E27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51F4B01" w14:textId="1387418D" w:rsidR="00E2720A" w:rsidRPr="00E2720A" w:rsidRDefault="00E2720A" w:rsidP="00E27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vAlign w:val="center"/>
          </w:tcPr>
          <w:p w14:paraId="1AC98C5F" w14:textId="561234FA" w:rsidR="00E2720A" w:rsidRPr="00E2720A" w:rsidRDefault="00E2720A" w:rsidP="00E27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6" w:type="dxa"/>
          </w:tcPr>
          <w:p w14:paraId="68DC9790" w14:textId="014FD50C" w:rsidR="00E2720A" w:rsidRPr="00E2720A" w:rsidRDefault="00E2720A" w:rsidP="00E27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86" w:type="dxa"/>
            <w:vMerge/>
            <w:vAlign w:val="center"/>
          </w:tcPr>
          <w:p w14:paraId="0A37501D" w14:textId="77777777" w:rsidR="00E2720A" w:rsidRPr="00E2720A" w:rsidRDefault="00E2720A" w:rsidP="00E272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554CBA" w14:textId="77777777" w:rsidR="001F45AB" w:rsidRPr="00E2720A" w:rsidRDefault="001F45AB" w:rsidP="00F55142">
      <w:pPr>
        <w:spacing w:after="120"/>
        <w:jc w:val="both"/>
        <w:rPr>
          <w:rFonts w:asciiTheme="minorHAnsi" w:hAnsiTheme="minorHAnsi" w:cstheme="minorHAnsi"/>
          <w:i/>
          <w:sz w:val="20"/>
        </w:rPr>
      </w:pPr>
      <w:r w:rsidRPr="00E2720A">
        <w:rPr>
          <w:rFonts w:asciiTheme="minorHAnsi" w:hAnsiTheme="minorHAnsi" w:cstheme="minorHAnsi"/>
          <w:i/>
          <w:sz w:val="20"/>
        </w:rPr>
        <w:t>The duties outlined in this job description are in addition to those covered by the latest School Teacher’s Pay and Conditions document</w:t>
      </w:r>
      <w:r w:rsidR="0026712C" w:rsidRPr="00E2720A">
        <w:rPr>
          <w:rFonts w:asciiTheme="minorHAnsi" w:hAnsiTheme="minorHAnsi" w:cstheme="minorHAnsi"/>
          <w:i/>
          <w:sz w:val="20"/>
        </w:rPr>
        <w:t xml:space="preserve"> and</w:t>
      </w:r>
      <w:r w:rsidR="00F55142" w:rsidRPr="00E2720A">
        <w:rPr>
          <w:rFonts w:asciiTheme="minorHAnsi" w:hAnsiTheme="minorHAnsi" w:cstheme="minorHAnsi"/>
          <w:i/>
          <w:sz w:val="20"/>
        </w:rPr>
        <w:t>, where appropriate,</w:t>
      </w:r>
      <w:r w:rsidR="0026712C" w:rsidRPr="00E2720A">
        <w:rPr>
          <w:rFonts w:asciiTheme="minorHAnsi" w:hAnsiTheme="minorHAnsi" w:cstheme="minorHAnsi"/>
          <w:i/>
          <w:sz w:val="20"/>
        </w:rPr>
        <w:t xml:space="preserve"> supplemental to the Job Profile for </w:t>
      </w:r>
      <w:r w:rsidR="00F55142" w:rsidRPr="00E2720A">
        <w:rPr>
          <w:rFonts w:asciiTheme="minorHAnsi" w:hAnsiTheme="minorHAnsi" w:cstheme="minorHAnsi"/>
          <w:i/>
          <w:sz w:val="20"/>
        </w:rPr>
        <w:t>a C</w:t>
      </w:r>
      <w:r w:rsidR="0026712C" w:rsidRPr="00E2720A">
        <w:rPr>
          <w:rFonts w:asciiTheme="minorHAnsi" w:hAnsiTheme="minorHAnsi" w:cstheme="minorHAnsi"/>
          <w:i/>
          <w:sz w:val="20"/>
        </w:rPr>
        <w:t>lassroom Teacher</w:t>
      </w:r>
      <w:r w:rsidRPr="00E2720A">
        <w:rPr>
          <w:rFonts w:asciiTheme="minorHAnsi" w:hAnsiTheme="minorHAnsi" w:cstheme="minorHAnsi"/>
          <w:i/>
          <w:sz w:val="20"/>
        </w:rPr>
        <w:t>.  It may be modified to reflect or anticipate changes in the job, commensurate with the salary and job title.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2720A" w:rsidRPr="00E2720A" w14:paraId="7C5ABCAA" w14:textId="77777777" w:rsidTr="00B629CF">
        <w:trPr>
          <w:trHeight w:val="408"/>
        </w:trPr>
        <w:tc>
          <w:tcPr>
            <w:tcW w:w="10201" w:type="dxa"/>
            <w:vAlign w:val="center"/>
          </w:tcPr>
          <w:p w14:paraId="0384322B" w14:textId="77777777" w:rsidR="00E2720A" w:rsidRPr="00E2720A" w:rsidRDefault="00E2720A" w:rsidP="00C412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720A">
              <w:rPr>
                <w:rFonts w:asciiTheme="minorHAnsi" w:hAnsiTheme="minorHAnsi" w:cstheme="minorHAnsi"/>
                <w:b/>
                <w:sz w:val="22"/>
                <w:szCs w:val="22"/>
              </w:rPr>
              <w:t>Job purpose</w:t>
            </w:r>
          </w:p>
        </w:tc>
      </w:tr>
      <w:tr w:rsidR="00E2720A" w:rsidRPr="00E2720A" w14:paraId="3996DE66" w14:textId="77777777" w:rsidTr="00B629CF">
        <w:trPr>
          <w:trHeight w:val="544"/>
        </w:trPr>
        <w:tc>
          <w:tcPr>
            <w:tcW w:w="10201" w:type="dxa"/>
            <w:vAlign w:val="center"/>
          </w:tcPr>
          <w:p w14:paraId="308D3528" w14:textId="36C91F94" w:rsidR="009C1D39" w:rsidRDefault="009C1D39" w:rsidP="009C1D39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4A697C">
              <w:rPr>
                <w:rFonts w:asciiTheme="minorHAnsi" w:hAnsiTheme="minorHAnsi" w:cs="Arial"/>
                <w:sz w:val="22"/>
                <w:szCs w:val="22"/>
              </w:rPr>
              <w:t xml:space="preserve">To take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lead </w:t>
            </w:r>
            <w:r w:rsidRPr="004A697C">
              <w:rPr>
                <w:rFonts w:asciiTheme="minorHAnsi" w:hAnsiTheme="minorHAnsi" w:cs="Arial"/>
                <w:sz w:val="22"/>
                <w:szCs w:val="22"/>
              </w:rPr>
              <w:t xml:space="preserve">responsibility for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providing leadership and management for </w:t>
            </w:r>
            <w:r>
              <w:rPr>
                <w:rFonts w:asciiTheme="minorHAnsi" w:hAnsiTheme="minorHAnsi" w:cs="Arial"/>
                <w:sz w:val="22"/>
                <w:szCs w:val="22"/>
              </w:rPr>
              <w:t>Biology</w:t>
            </w:r>
            <w:r w:rsidRPr="004A69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to secure:</w:t>
            </w:r>
          </w:p>
          <w:p w14:paraId="343D0524" w14:textId="77777777" w:rsidR="009C1D39" w:rsidRPr="00967473" w:rsidRDefault="009C1D39" w:rsidP="009C1D39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67473">
              <w:rPr>
                <w:rFonts w:asciiTheme="minorHAnsi" w:hAnsiTheme="minorHAnsi" w:cs="Arial"/>
                <w:sz w:val="22"/>
                <w:szCs w:val="22"/>
              </w:rPr>
              <w:t>High quality teaching</w:t>
            </w:r>
          </w:p>
          <w:p w14:paraId="23FB061B" w14:textId="77777777" w:rsidR="009C1D39" w:rsidRPr="00967473" w:rsidRDefault="009C1D39" w:rsidP="009C1D39">
            <w:pPr>
              <w:pStyle w:val="ListParagraph"/>
              <w:numPr>
                <w:ilvl w:val="1"/>
                <w:numId w:val="1"/>
              </w:num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967473">
              <w:rPr>
                <w:rFonts w:asciiTheme="minorHAnsi" w:hAnsiTheme="minorHAnsi" w:cs="Arial"/>
                <w:sz w:val="22"/>
                <w:szCs w:val="22"/>
              </w:rPr>
              <w:t>Effective use of resources</w:t>
            </w:r>
          </w:p>
          <w:p w14:paraId="17596259" w14:textId="7025ECFB" w:rsidR="00E2720A" w:rsidRPr="00E2720A" w:rsidRDefault="009C1D39" w:rsidP="009C1D39">
            <w:pPr>
              <w:pStyle w:val="ListParagraph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7473">
              <w:rPr>
                <w:rFonts w:asciiTheme="minorHAnsi" w:hAnsiTheme="minorHAnsi" w:cs="Arial"/>
                <w:sz w:val="22"/>
                <w:szCs w:val="22"/>
              </w:rPr>
              <w:t>Improved standards of learning and achievement for all</w:t>
            </w:r>
          </w:p>
        </w:tc>
      </w:tr>
    </w:tbl>
    <w:p w14:paraId="0E27B00A" w14:textId="77777777" w:rsidR="002374E5" w:rsidRPr="00E2720A" w:rsidRDefault="005615EA" w:rsidP="005615EA">
      <w:pPr>
        <w:tabs>
          <w:tab w:val="left" w:pos="8700"/>
        </w:tabs>
        <w:rPr>
          <w:rFonts w:asciiTheme="minorHAnsi" w:hAnsiTheme="minorHAnsi" w:cstheme="minorHAnsi"/>
          <w:sz w:val="8"/>
          <w:szCs w:val="16"/>
        </w:rPr>
      </w:pPr>
      <w:r w:rsidRPr="00E2720A">
        <w:rPr>
          <w:rFonts w:asciiTheme="minorHAnsi" w:hAnsiTheme="minorHAnsi" w:cstheme="minorHAnsi"/>
          <w:sz w:val="8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0519A" w:rsidRPr="00E2720A" w14:paraId="5F73651F" w14:textId="77777777" w:rsidTr="009C1D39">
        <w:trPr>
          <w:trHeight w:val="408"/>
        </w:trPr>
        <w:tc>
          <w:tcPr>
            <w:tcW w:w="10194" w:type="dxa"/>
            <w:vAlign w:val="center"/>
          </w:tcPr>
          <w:p w14:paraId="2D42D5BE" w14:textId="77777777" w:rsidR="0020519A" w:rsidRPr="00E2720A" w:rsidRDefault="0020519A" w:rsidP="005615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272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Key accountabilities </w:t>
            </w:r>
          </w:p>
        </w:tc>
      </w:tr>
      <w:tr w:rsidR="009C1D39" w:rsidRPr="00E2720A" w14:paraId="4D869CAA" w14:textId="77777777" w:rsidTr="009C1D39">
        <w:trPr>
          <w:trHeight w:val="20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68F7055D" w14:textId="77777777" w:rsidR="009C1D39" w:rsidRPr="0020519A" w:rsidRDefault="009C1D39" w:rsidP="009C1D39">
            <w:pPr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519A">
              <w:rPr>
                <w:rFonts w:asciiTheme="minorHAnsi" w:hAnsiTheme="minorHAnsi" w:cs="Arial"/>
                <w:b/>
                <w:sz w:val="22"/>
                <w:szCs w:val="22"/>
              </w:rPr>
              <w:t xml:space="preserve">Strategic Development </w:t>
            </w:r>
          </w:p>
          <w:p w14:paraId="6795B419" w14:textId="7FA35C61" w:rsidR="009C1D39" w:rsidRPr="00FF78F4" w:rsidRDefault="009C1D39" w:rsidP="009C1D39">
            <w:pPr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Develop and implement policies and practices for Biology</w:t>
            </w:r>
            <w:bookmarkStart w:id="0" w:name="_GoBack"/>
            <w:bookmarkEnd w:id="0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which reflect our school’s commitment to high achievement, effective teaching and learning.</w:t>
            </w:r>
          </w:p>
          <w:p w14:paraId="752B11D3" w14:textId="77777777" w:rsidR="009C1D39" w:rsidRDefault="009C1D39" w:rsidP="009C1D39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Create a climate which enables staff to develop and maintain positive attitudes towards the subject and confidence in teaching it</w:t>
            </w:r>
          </w:p>
          <w:p w14:paraId="1057B754" w14:textId="77777777" w:rsidR="009C1D39" w:rsidRPr="00967473" w:rsidRDefault="009C1D39" w:rsidP="009C1D39">
            <w:pPr>
              <w:numPr>
                <w:ilvl w:val="0"/>
                <w:numId w:val="4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7473">
              <w:rPr>
                <w:rFonts w:asciiTheme="minorHAnsi" w:hAnsiTheme="minorHAnsi" w:cstheme="minorHAnsi"/>
                <w:sz w:val="22"/>
                <w:szCs w:val="22"/>
              </w:rPr>
              <w:t xml:space="preserve">Establish a clear, shared understanding of the importance and role of the subject in contributing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967473">
              <w:rPr>
                <w:rFonts w:asciiTheme="minorHAnsi" w:hAnsiTheme="minorHAnsi" w:cstheme="minorHAnsi"/>
                <w:sz w:val="22"/>
                <w:szCs w:val="22"/>
              </w:rPr>
              <w:t xml:space="preserve">’ spiritual, moral, cultural, mental and physical development, and in preparing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967473">
              <w:rPr>
                <w:rFonts w:asciiTheme="minorHAnsi" w:hAnsiTheme="minorHAnsi" w:cstheme="minorHAnsi"/>
                <w:sz w:val="22"/>
                <w:szCs w:val="22"/>
              </w:rPr>
              <w:t xml:space="preserve"> for the opportunities, responsibilities and experiences of adult life</w:t>
            </w:r>
          </w:p>
          <w:p w14:paraId="1020C5BE" w14:textId="77777777" w:rsidR="009C1D39" w:rsidRPr="00967473" w:rsidRDefault="009C1D39" w:rsidP="009C1D3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74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Use data effectively to identify </w:t>
            </w:r>
            <w:r w:rsidRPr="00967473">
              <w:rPr>
                <w:rFonts w:asciiTheme="minorHAnsi" w:hAnsiTheme="minorHAnsi" w:cstheme="minorHAnsi"/>
                <w:sz w:val="22"/>
                <w:szCs w:val="22"/>
              </w:rPr>
              <w:t xml:space="preserve">pupils who are underachieving in the subject, and create and implement effective plans to support those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967473">
              <w:rPr>
                <w:rFonts w:asciiTheme="minorHAnsi" w:hAnsiTheme="minorHAnsi" w:cstheme="minorHAnsi"/>
                <w:sz w:val="22"/>
                <w:szCs w:val="22"/>
              </w:rPr>
              <w:t xml:space="preserve"> where necessary</w:t>
            </w:r>
          </w:p>
          <w:p w14:paraId="544ED4A7" w14:textId="77777777" w:rsidR="009C1D39" w:rsidRPr="00967473" w:rsidRDefault="009C1D39" w:rsidP="009C1D3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7473">
              <w:rPr>
                <w:rFonts w:asciiTheme="minorHAnsi" w:hAnsiTheme="minorHAnsi" w:cstheme="minorHAnsi"/>
                <w:sz w:val="22"/>
                <w:szCs w:val="22"/>
              </w:rPr>
              <w:t>Analyse and interpret relevant national, local and school data, as well as research and inspection evidence, to inform policies, practices, expectations, targets and teaching methods</w:t>
            </w:r>
          </w:p>
          <w:p w14:paraId="6F40E135" w14:textId="77777777" w:rsidR="009C1D39" w:rsidRPr="00967473" w:rsidRDefault="009C1D39" w:rsidP="009C1D39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67473">
              <w:rPr>
                <w:rFonts w:asciiTheme="minorHAnsi" w:hAnsiTheme="minorHAnsi" w:cstheme="minorHAnsi"/>
                <w:sz w:val="22"/>
                <w:szCs w:val="22"/>
              </w:rPr>
              <w:t>With the involvement of relevant staff, establish short, medium and long term plans for the development and resourcing of the subject</w:t>
            </w:r>
          </w:p>
          <w:p w14:paraId="32F314F9" w14:textId="270CA697" w:rsidR="009C1D39" w:rsidRPr="00E2720A" w:rsidRDefault="009C1D39" w:rsidP="009C1D39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67473">
              <w:rPr>
                <w:rFonts w:asciiTheme="minorHAnsi" w:hAnsiTheme="minorHAnsi" w:cstheme="minorHAnsi"/>
                <w:sz w:val="22"/>
                <w:szCs w:val="22"/>
              </w:rPr>
              <w:t>Monitor the progress made in achieving subject plans and targets, evaluate the effects on teaching and learning, and use this analysis to guide further improvement</w:t>
            </w:r>
          </w:p>
        </w:tc>
      </w:tr>
      <w:tr w:rsidR="00EF569F" w:rsidRPr="00E2720A" w14:paraId="1A7FB055" w14:textId="77777777" w:rsidTr="009C1D39">
        <w:trPr>
          <w:trHeight w:val="105"/>
        </w:trPr>
        <w:tc>
          <w:tcPr>
            <w:tcW w:w="10194" w:type="dxa"/>
            <w:tcBorders>
              <w:bottom w:val="single" w:sz="4" w:space="0" w:color="auto"/>
            </w:tcBorders>
          </w:tcPr>
          <w:p w14:paraId="624A3073" w14:textId="77777777" w:rsidR="009C1D39" w:rsidRDefault="009C1D39" w:rsidP="009C1D39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0519A">
              <w:rPr>
                <w:rFonts w:asciiTheme="minorHAnsi" w:hAnsiTheme="minorHAnsi"/>
                <w:b/>
                <w:sz w:val="22"/>
                <w:szCs w:val="22"/>
              </w:rPr>
              <w:t>Teaching and Learning</w:t>
            </w:r>
            <w:r w:rsidRPr="00F461F1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53319BF2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Ensure curriculum coverage, continuity and progression in the subject for 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, including more 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 with special educational needs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 with English as an additional language</w:t>
            </w:r>
          </w:p>
          <w:p w14:paraId="31386988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>Make sure that teachers are clear about the teaching objectives in lessons, understand the sequence of teaching and learning in the subject, and commu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nicate such information to student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14:paraId="5C355F58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Provide guidance on the choice of appropriate teaching and learning methods to meet the needs of the subject and of different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</w:p>
          <w:p w14:paraId="0697A41D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Ensure effective development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>’ literacy, numeracy and IT skills through the subject</w:t>
            </w:r>
          </w:p>
          <w:p w14:paraId="027FAAA8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Establish and implement clear policies and practices for assessing, recording and reporting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 achievement, and for using this information to recognise achievement, set targets, and secure good progress</w:t>
            </w:r>
          </w:p>
          <w:p w14:paraId="76C29265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Set expectations and targets for staff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 in relation to standards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 achievement and the quality of teaching</w:t>
            </w:r>
          </w:p>
          <w:p w14:paraId="217722B5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>Evaluate the teaching of the subject in the school, use this analysis to identify effective practice and areas for improvement, and take action to improve further the quality of teaching</w:t>
            </w:r>
          </w:p>
          <w:p w14:paraId="727B4774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Ensure effective development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>s’ individual and collaborative study skills</w:t>
            </w:r>
          </w:p>
          <w:p w14:paraId="7E7114D7" w14:textId="77777777" w:rsidR="009C1D39" w:rsidRPr="00BD0C7B" w:rsidRDefault="009C1D39" w:rsidP="009C1D39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>Work with staff to establish a partnership with parents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/carers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 to involve them in their child’s learning of the subject, as well as providing information about curriculum, attainment, progress and targets</w:t>
            </w:r>
          </w:p>
          <w:p w14:paraId="71CF3E66" w14:textId="229981A8" w:rsidR="00EF569F" w:rsidRPr="009C1D39" w:rsidRDefault="009C1D39" w:rsidP="009C1D39">
            <w:pPr>
              <w:pStyle w:val="ListParagraph"/>
              <w:numPr>
                <w:ilvl w:val="1"/>
                <w:numId w:val="26"/>
              </w:numPr>
              <w:spacing w:before="60"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 xml:space="preserve">Develop effective links with the local community, including business and industry, in order to extend the curriculum, enhance teaching and to develop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BD0C7B">
              <w:rPr>
                <w:rFonts w:asciiTheme="minorHAnsi" w:hAnsiTheme="minorHAnsi" w:cstheme="minorHAnsi"/>
                <w:sz w:val="22"/>
                <w:szCs w:val="22"/>
              </w:rPr>
              <w:t>’ wider understanding</w:t>
            </w:r>
          </w:p>
        </w:tc>
      </w:tr>
      <w:tr w:rsidR="00EF569F" w:rsidRPr="0020519A" w14:paraId="15CAD1A6" w14:textId="77777777" w:rsidTr="009C1D39">
        <w:trPr>
          <w:trHeight w:val="1905"/>
        </w:trPr>
        <w:tc>
          <w:tcPr>
            <w:tcW w:w="10194" w:type="dxa"/>
            <w:tcBorders>
              <w:bottom w:val="single" w:sz="4" w:space="0" w:color="auto"/>
            </w:tcBorders>
          </w:tcPr>
          <w:p w14:paraId="59DB2D9E" w14:textId="77777777" w:rsidR="009C1D39" w:rsidRPr="0020519A" w:rsidRDefault="009C1D39" w:rsidP="009C1D3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Leading and managing staff</w:t>
            </w:r>
          </w:p>
          <w:p w14:paraId="4871FF42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 xml:space="preserve">Help staff to achieve constructive working relationships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 xml:space="preserve"> and parents</w:t>
            </w:r>
          </w:p>
          <w:p w14:paraId="585A604A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Establish clear expectations and constructive working relationships among staff involved with the subject, including through team working and mutual support; devolving responsibilities and delegating tasks, as appropriate</w:t>
            </w:r>
          </w:p>
          <w:p w14:paraId="1E2CE481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Sustain your own motivation and, where possible, that of other staff involved in the subject</w:t>
            </w:r>
          </w:p>
          <w:p w14:paraId="3B46F8BD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Appraise staff as required by the school policy and use the process to develop the personal and professional effectiveness of the appraisee(s)</w:t>
            </w:r>
          </w:p>
          <w:p w14:paraId="2CC13644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Audit training needs of subject staff</w:t>
            </w:r>
          </w:p>
          <w:p w14:paraId="0B4B8CBF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Lead professional development of subject staff through example and support, and co-ordinate the provision of high-quality professional development by methods such as coaching, drawing on other sources of expertise as necessary, for example, higher education, local authority, subject associations</w:t>
            </w:r>
          </w:p>
          <w:p w14:paraId="6C633E25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 xml:space="preserve">Make sure that trainee and newly qualified teachers are appropriately trained, monitored, supported and assessed </w:t>
            </w:r>
          </w:p>
          <w:p w14:paraId="36540B93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Enable teachers to achieve expertise in their subject teaching</w:t>
            </w:r>
          </w:p>
          <w:p w14:paraId="514CE33D" w14:textId="77777777" w:rsidR="009C1D39" w:rsidRPr="00DD78EB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Work with the SEN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CO and any other staff with special educational needs expertise, to make sure that education, health and care plans are used to set subject-specific targets and match work well to pupils’ needs</w:t>
            </w:r>
          </w:p>
          <w:p w14:paraId="0EDF03E1" w14:textId="39C0903A" w:rsidR="00EF569F" w:rsidRPr="009C1D39" w:rsidRDefault="009C1D39" w:rsidP="009C1D39">
            <w:pPr>
              <w:numPr>
                <w:ilvl w:val="0"/>
                <w:numId w:val="1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 xml:space="preserve">Make sure that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 xml:space="preserve">, senior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leader</w:t>
            </w:r>
            <w:r w:rsidRPr="00DD78EB">
              <w:rPr>
                <w:rFonts w:asciiTheme="minorHAnsi" w:hAnsiTheme="minorHAnsi" w:cstheme="minorHAnsi"/>
                <w:sz w:val="22"/>
                <w:szCs w:val="22"/>
              </w:rPr>
              <w:t>s and governors are well informed about subject policies, plans and priorities, the success in meeting objectives and targets, and subject-related professional development plans</w:t>
            </w:r>
          </w:p>
        </w:tc>
      </w:tr>
      <w:tr w:rsidR="00EF569F" w:rsidRPr="0020519A" w14:paraId="30F128E6" w14:textId="77777777" w:rsidTr="009C1D39">
        <w:trPr>
          <w:trHeight w:val="2614"/>
        </w:trPr>
        <w:tc>
          <w:tcPr>
            <w:tcW w:w="10194" w:type="dxa"/>
          </w:tcPr>
          <w:p w14:paraId="124ABE9A" w14:textId="77777777" w:rsidR="009C1D39" w:rsidRPr="00E77D09" w:rsidRDefault="009C1D39" w:rsidP="009C1D39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D09">
              <w:rPr>
                <w:rFonts w:asciiTheme="minorHAnsi" w:hAnsiTheme="minorHAnsi" w:cstheme="minorHAnsi"/>
                <w:b/>
                <w:sz w:val="22"/>
                <w:szCs w:val="22"/>
              </w:rPr>
              <w:t>Efficient and effective deployment of staff and resources</w:t>
            </w:r>
          </w:p>
          <w:p w14:paraId="587EDD88" w14:textId="77777777" w:rsidR="009C1D39" w:rsidRPr="00E77D09" w:rsidRDefault="009C1D39" w:rsidP="009C1D3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 xml:space="preserve">Establish staff and resource needs for the subject and advise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 xml:space="preserve"> and senior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leaders</w:t>
            </w: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 xml:space="preserve"> of likely priorities for expenditure, and allocate available subject resources with maximum efficiency to meet the objectives of the school and subject plans and to achieve value for money</w:t>
            </w:r>
          </w:p>
          <w:p w14:paraId="1605951B" w14:textId="77777777" w:rsidR="009C1D39" w:rsidRPr="00E77D09" w:rsidRDefault="009C1D39" w:rsidP="009C1D3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 xml:space="preserve">Deploy, or advise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 xml:space="preserve"> on the deployment of staff involved in the subject to make sure the best use of subject, technical and other expertise</w:t>
            </w:r>
          </w:p>
          <w:p w14:paraId="6F35F975" w14:textId="77777777" w:rsidR="009C1D39" w:rsidRPr="00E77D09" w:rsidRDefault="009C1D39" w:rsidP="009C1D3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>Make sure the effective and efficient management and organisation of learning resources, including ICT</w:t>
            </w:r>
          </w:p>
          <w:p w14:paraId="04AFF6BE" w14:textId="77777777" w:rsidR="009C1D39" w:rsidRPr="00E77D09" w:rsidRDefault="009C1D39" w:rsidP="009C1D3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>Maintain existing resources and explore opportunities to develop or incorporate new resources from a wide range of sources inside and outside the school</w:t>
            </w:r>
          </w:p>
          <w:p w14:paraId="6D99869A" w14:textId="77777777" w:rsidR="009C1D39" w:rsidRPr="00E77D09" w:rsidRDefault="009C1D39" w:rsidP="009C1D3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>Use space to create an effective and stimulating environment for the teaching and learning of the subject</w:t>
            </w:r>
          </w:p>
          <w:p w14:paraId="491123D3" w14:textId="60A79ACE" w:rsidR="00EF569F" w:rsidRPr="009C1D39" w:rsidRDefault="009C1D39" w:rsidP="009C1D39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77D09">
              <w:rPr>
                <w:rFonts w:asciiTheme="minorHAnsi" w:hAnsiTheme="minorHAnsi" w:cstheme="minorHAnsi"/>
                <w:sz w:val="22"/>
                <w:szCs w:val="22"/>
              </w:rPr>
              <w:t>Make sure that there is a safe working and learning environment in which risks are properly assessed</w:t>
            </w:r>
          </w:p>
        </w:tc>
      </w:tr>
      <w:tr w:rsidR="009C1D39" w:rsidRPr="0020519A" w14:paraId="7F391B6E" w14:textId="77777777" w:rsidTr="009C1D39">
        <w:trPr>
          <w:trHeight w:val="2614"/>
        </w:trPr>
        <w:tc>
          <w:tcPr>
            <w:tcW w:w="10194" w:type="dxa"/>
            <w:tcBorders>
              <w:bottom w:val="single" w:sz="4" w:space="0" w:color="auto"/>
            </w:tcBorders>
          </w:tcPr>
          <w:p w14:paraId="6BBE1A03" w14:textId="77777777" w:rsidR="009C1D39" w:rsidRPr="0020519A" w:rsidRDefault="009C1D39" w:rsidP="009C1D39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Pastoral</w:t>
            </w:r>
          </w:p>
          <w:p w14:paraId="76F8CED0" w14:textId="77777777" w:rsidR="009C1D39" w:rsidRPr="0020519A" w:rsidRDefault="009C1D39" w:rsidP="009C1D39">
            <w:pPr>
              <w:spacing w:before="60" w:after="6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20519A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Health and well-being</w:t>
            </w:r>
          </w:p>
          <w:p w14:paraId="4222F52D" w14:textId="77777777" w:rsidR="009C1D39" w:rsidRPr="00F461F1" w:rsidRDefault="009C1D39" w:rsidP="009C1D39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461F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Understand how children and young people develop and how the progress, rate of development and well-being of learners are affected by a range of  developmental, social, religious, ethnic, cultural and linguistic influences.</w:t>
            </w:r>
          </w:p>
          <w:p w14:paraId="5224A3AD" w14:textId="77777777" w:rsidR="009C1D39" w:rsidRPr="0020519A" w:rsidRDefault="009C1D39" w:rsidP="009C1D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0519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Know the current legal requirements, national policies and guidance on the safeguarding and promotion of the well-being of children and young people.</w:t>
            </w:r>
          </w:p>
          <w:p w14:paraId="62A80600" w14:textId="77777777" w:rsidR="009C1D39" w:rsidRPr="0020519A" w:rsidRDefault="009C1D39" w:rsidP="009C1D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0519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Know the local arrangements concerning the safeguarding of children and young people.</w:t>
            </w:r>
          </w:p>
          <w:p w14:paraId="62FB2C41" w14:textId="77777777" w:rsidR="009C1D39" w:rsidRPr="0020519A" w:rsidRDefault="009C1D39" w:rsidP="009C1D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0519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Know how to identify potential child abuse or neglect and follow safeguarding procedures.</w:t>
            </w:r>
          </w:p>
          <w:p w14:paraId="58DD95EC" w14:textId="77777777" w:rsidR="009C1D39" w:rsidRPr="0020519A" w:rsidRDefault="009C1D39" w:rsidP="009C1D39">
            <w:pPr>
              <w:pStyle w:val="ListParagraph"/>
              <w:numPr>
                <w:ilvl w:val="0"/>
                <w:numId w:val="5"/>
              </w:numPr>
              <w:spacing w:before="60" w:after="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0519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Know how to identify and support children and young people whose progress, development or well-being is affected by changes or difficulties in their personal circumstances, and when to refer them to colleagues for specialist support.</w:t>
            </w:r>
          </w:p>
          <w:p w14:paraId="0020A3D0" w14:textId="47CD768B" w:rsidR="009C1D39" w:rsidRPr="00E77D09" w:rsidRDefault="009C1D39" w:rsidP="009C1D39">
            <w:pPr>
              <w:tabs>
                <w:tab w:val="left" w:pos="1185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56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Have sufficient depth of knowledge and experience to be able to give advice on the development and well-being of children and young people.</w:t>
            </w:r>
          </w:p>
        </w:tc>
      </w:tr>
    </w:tbl>
    <w:p w14:paraId="44EAFD9C" w14:textId="77777777" w:rsidR="00FE404D" w:rsidRDefault="00FE404D" w:rsidP="003B2764">
      <w:pPr>
        <w:pStyle w:val="ListParagraph"/>
      </w:pPr>
    </w:p>
    <w:p w14:paraId="53C2B057" w14:textId="77777777" w:rsidR="00E2720A" w:rsidRDefault="00E2720A">
      <w:pPr>
        <w:pStyle w:val="ListParagraph"/>
      </w:pPr>
    </w:p>
    <w:sectPr w:rsidR="00E2720A" w:rsidSect="00E2720A">
      <w:footerReference w:type="default" r:id="rId9"/>
      <w:pgSz w:w="11906" w:h="16838"/>
      <w:pgMar w:top="851" w:right="851" w:bottom="851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4D5A5" w14:textId="77777777" w:rsidR="005615EA" w:rsidRDefault="005615EA" w:rsidP="004A697C">
      <w:r>
        <w:separator/>
      </w:r>
    </w:p>
  </w:endnote>
  <w:endnote w:type="continuationSeparator" w:id="0">
    <w:p w14:paraId="3DEEC669" w14:textId="77777777" w:rsidR="005615EA" w:rsidRDefault="005615EA" w:rsidP="004A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14350985"/>
      <w:docPartObj>
        <w:docPartGallery w:val="Page Numbers (Bottom of Page)"/>
        <w:docPartUnique/>
      </w:docPartObj>
    </w:sdtPr>
    <w:sdtEndPr/>
    <w:sdtContent>
      <w:p w14:paraId="2903CBC8" w14:textId="77777777" w:rsidR="004A697C" w:rsidRPr="004A697C" w:rsidRDefault="007A2389">
        <w:pPr>
          <w:pStyle w:val="Footer"/>
          <w:jc w:val="right"/>
          <w:rPr>
            <w:rFonts w:asciiTheme="minorHAnsi" w:hAnsiTheme="minorHAnsi"/>
            <w:sz w:val="20"/>
          </w:rPr>
        </w:pPr>
        <w:r w:rsidRPr="004A697C">
          <w:rPr>
            <w:rFonts w:asciiTheme="minorHAnsi" w:hAnsiTheme="minorHAnsi"/>
            <w:sz w:val="20"/>
          </w:rPr>
          <w:fldChar w:fldCharType="begin"/>
        </w:r>
        <w:r w:rsidR="004A697C" w:rsidRPr="004A697C">
          <w:rPr>
            <w:rFonts w:asciiTheme="minorHAnsi" w:hAnsiTheme="minorHAnsi"/>
            <w:sz w:val="20"/>
          </w:rPr>
          <w:instrText xml:space="preserve"> PAGE   \* MERGEFORMAT </w:instrText>
        </w:r>
        <w:r w:rsidRPr="004A697C">
          <w:rPr>
            <w:rFonts w:asciiTheme="minorHAnsi" w:hAnsiTheme="minorHAnsi"/>
            <w:sz w:val="20"/>
          </w:rPr>
          <w:fldChar w:fldCharType="separate"/>
        </w:r>
        <w:r w:rsidR="009C1D39">
          <w:rPr>
            <w:rFonts w:asciiTheme="minorHAnsi" w:hAnsiTheme="minorHAnsi"/>
            <w:noProof/>
            <w:sz w:val="20"/>
          </w:rPr>
          <w:t>2</w:t>
        </w:r>
        <w:r w:rsidRPr="004A697C">
          <w:rPr>
            <w:rFonts w:asciiTheme="minorHAnsi" w:hAnsiTheme="minorHAnsi"/>
            <w:sz w:val="20"/>
          </w:rPr>
          <w:fldChar w:fldCharType="end"/>
        </w:r>
      </w:p>
    </w:sdtContent>
  </w:sdt>
  <w:p w14:paraId="049F31CB" w14:textId="77777777" w:rsidR="004A697C" w:rsidRDefault="004A69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6B9AB" w14:textId="77777777" w:rsidR="005615EA" w:rsidRDefault="005615EA" w:rsidP="004A697C">
      <w:r>
        <w:separator/>
      </w:r>
    </w:p>
  </w:footnote>
  <w:footnote w:type="continuationSeparator" w:id="0">
    <w:p w14:paraId="45FB0818" w14:textId="77777777" w:rsidR="005615EA" w:rsidRDefault="005615EA" w:rsidP="004A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BB0"/>
    <w:multiLevelType w:val="hybridMultilevel"/>
    <w:tmpl w:val="FB80F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959"/>
    <w:multiLevelType w:val="hybridMultilevel"/>
    <w:tmpl w:val="CA3868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A67DA"/>
    <w:multiLevelType w:val="hybridMultilevel"/>
    <w:tmpl w:val="DAE63D8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637C0"/>
    <w:multiLevelType w:val="hybridMultilevel"/>
    <w:tmpl w:val="184A1E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97823"/>
    <w:multiLevelType w:val="hybridMultilevel"/>
    <w:tmpl w:val="2D3016E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85D08"/>
    <w:multiLevelType w:val="hybridMultilevel"/>
    <w:tmpl w:val="9DB232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BC2157"/>
    <w:multiLevelType w:val="hybridMultilevel"/>
    <w:tmpl w:val="B25C21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A6C1A"/>
    <w:multiLevelType w:val="hybridMultilevel"/>
    <w:tmpl w:val="3FACF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06EB6"/>
    <w:multiLevelType w:val="hybridMultilevel"/>
    <w:tmpl w:val="0FB887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3779F"/>
    <w:multiLevelType w:val="hybridMultilevel"/>
    <w:tmpl w:val="D7B6E9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E3F20"/>
    <w:multiLevelType w:val="hybridMultilevel"/>
    <w:tmpl w:val="F8EAB1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76A5A"/>
    <w:multiLevelType w:val="hybridMultilevel"/>
    <w:tmpl w:val="91C821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82CA3"/>
    <w:multiLevelType w:val="hybridMultilevel"/>
    <w:tmpl w:val="5F7A69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FE47AC"/>
    <w:multiLevelType w:val="hybridMultilevel"/>
    <w:tmpl w:val="84B819E6"/>
    <w:lvl w:ilvl="0" w:tplc="CD54C374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E0932"/>
    <w:multiLevelType w:val="hybridMultilevel"/>
    <w:tmpl w:val="E2927E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CD69B5"/>
    <w:multiLevelType w:val="hybridMultilevel"/>
    <w:tmpl w:val="28CC86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93713"/>
    <w:multiLevelType w:val="hybridMultilevel"/>
    <w:tmpl w:val="14A417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128C1"/>
    <w:multiLevelType w:val="hybridMultilevel"/>
    <w:tmpl w:val="5BC2B0B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D54C374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CB3EA8"/>
    <w:multiLevelType w:val="hybridMultilevel"/>
    <w:tmpl w:val="D1321E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F459E"/>
    <w:multiLevelType w:val="hybridMultilevel"/>
    <w:tmpl w:val="257A333C"/>
    <w:lvl w:ilvl="0" w:tplc="0436D100">
      <w:start w:val="1"/>
      <w:numFmt w:val="bullet"/>
      <w:lvlText w:val=""/>
      <w:lvlJc w:val="left"/>
      <w:pPr>
        <w:ind w:left="-285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0" w15:restartNumberingAfterBreak="0">
    <w:nsid w:val="5E2B5ACC"/>
    <w:multiLevelType w:val="hybridMultilevel"/>
    <w:tmpl w:val="AED00386"/>
    <w:lvl w:ilvl="0" w:tplc="ECCE3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626E8"/>
    <w:multiLevelType w:val="hybridMultilevel"/>
    <w:tmpl w:val="875A11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092C4C"/>
    <w:multiLevelType w:val="hybridMultilevel"/>
    <w:tmpl w:val="27E84D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354FCC"/>
    <w:multiLevelType w:val="hybridMultilevel"/>
    <w:tmpl w:val="2EC6E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564D21"/>
    <w:multiLevelType w:val="hybridMultilevel"/>
    <w:tmpl w:val="869440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EE6CC6"/>
    <w:multiLevelType w:val="hybridMultilevel"/>
    <w:tmpl w:val="508A1B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5542AB"/>
    <w:multiLevelType w:val="hybridMultilevel"/>
    <w:tmpl w:val="A21EC6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3561EFC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6D65F7"/>
    <w:multiLevelType w:val="hybridMultilevel"/>
    <w:tmpl w:val="17E89DD0"/>
    <w:lvl w:ilvl="0" w:tplc="19A074E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22"/>
  </w:num>
  <w:num w:numId="5">
    <w:abstractNumId w:val="6"/>
  </w:num>
  <w:num w:numId="6">
    <w:abstractNumId w:val="2"/>
  </w:num>
  <w:num w:numId="7">
    <w:abstractNumId w:val="7"/>
  </w:num>
  <w:num w:numId="8">
    <w:abstractNumId w:val="27"/>
  </w:num>
  <w:num w:numId="9">
    <w:abstractNumId w:val="5"/>
  </w:num>
  <w:num w:numId="10">
    <w:abstractNumId w:val="18"/>
  </w:num>
  <w:num w:numId="11">
    <w:abstractNumId w:val="4"/>
  </w:num>
  <w:num w:numId="12">
    <w:abstractNumId w:val="10"/>
  </w:num>
  <w:num w:numId="13">
    <w:abstractNumId w:val="25"/>
  </w:num>
  <w:num w:numId="14">
    <w:abstractNumId w:val="8"/>
  </w:num>
  <w:num w:numId="15">
    <w:abstractNumId w:val="14"/>
  </w:num>
  <w:num w:numId="16">
    <w:abstractNumId w:val="20"/>
  </w:num>
  <w:num w:numId="17">
    <w:abstractNumId w:val="23"/>
  </w:num>
  <w:num w:numId="18">
    <w:abstractNumId w:val="17"/>
  </w:num>
  <w:num w:numId="19">
    <w:abstractNumId w:val="13"/>
  </w:num>
  <w:num w:numId="20">
    <w:abstractNumId w:val="11"/>
  </w:num>
  <w:num w:numId="21">
    <w:abstractNumId w:val="15"/>
  </w:num>
  <w:num w:numId="22">
    <w:abstractNumId w:val="21"/>
  </w:num>
  <w:num w:numId="23">
    <w:abstractNumId w:val="12"/>
  </w:num>
  <w:num w:numId="24">
    <w:abstractNumId w:val="16"/>
  </w:num>
  <w:num w:numId="25">
    <w:abstractNumId w:val="1"/>
  </w:num>
  <w:num w:numId="26">
    <w:abstractNumId w:val="26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EA"/>
    <w:rsid w:val="00034900"/>
    <w:rsid w:val="00071CB2"/>
    <w:rsid w:val="00095AC8"/>
    <w:rsid w:val="001F45AB"/>
    <w:rsid w:val="0020519A"/>
    <w:rsid w:val="0022183B"/>
    <w:rsid w:val="002374E5"/>
    <w:rsid w:val="00246775"/>
    <w:rsid w:val="0026712C"/>
    <w:rsid w:val="002D74D4"/>
    <w:rsid w:val="00381A0A"/>
    <w:rsid w:val="003901DD"/>
    <w:rsid w:val="003A119F"/>
    <w:rsid w:val="003B2764"/>
    <w:rsid w:val="003C1388"/>
    <w:rsid w:val="00427388"/>
    <w:rsid w:val="004A697C"/>
    <w:rsid w:val="005615EA"/>
    <w:rsid w:val="005E5D32"/>
    <w:rsid w:val="00674914"/>
    <w:rsid w:val="006849E5"/>
    <w:rsid w:val="006E40EB"/>
    <w:rsid w:val="00761EA4"/>
    <w:rsid w:val="0076795F"/>
    <w:rsid w:val="00781FD4"/>
    <w:rsid w:val="0079552F"/>
    <w:rsid w:val="007A2389"/>
    <w:rsid w:val="007A2767"/>
    <w:rsid w:val="007D48AE"/>
    <w:rsid w:val="00880A69"/>
    <w:rsid w:val="008C2437"/>
    <w:rsid w:val="0091547B"/>
    <w:rsid w:val="009310FC"/>
    <w:rsid w:val="0095430D"/>
    <w:rsid w:val="009B21DB"/>
    <w:rsid w:val="009C1D39"/>
    <w:rsid w:val="009F1758"/>
    <w:rsid w:val="00A673D7"/>
    <w:rsid w:val="00AA33FB"/>
    <w:rsid w:val="00AC08BD"/>
    <w:rsid w:val="00B01B28"/>
    <w:rsid w:val="00B304A0"/>
    <w:rsid w:val="00B629CF"/>
    <w:rsid w:val="00B777F5"/>
    <w:rsid w:val="00BA0D59"/>
    <w:rsid w:val="00BC7C51"/>
    <w:rsid w:val="00C03635"/>
    <w:rsid w:val="00C3168B"/>
    <w:rsid w:val="00C412BB"/>
    <w:rsid w:val="00D3460F"/>
    <w:rsid w:val="00D5322A"/>
    <w:rsid w:val="00D9668C"/>
    <w:rsid w:val="00E2720A"/>
    <w:rsid w:val="00E53F3D"/>
    <w:rsid w:val="00EB384E"/>
    <w:rsid w:val="00ED0C72"/>
    <w:rsid w:val="00EF569F"/>
    <w:rsid w:val="00F26D57"/>
    <w:rsid w:val="00F27E35"/>
    <w:rsid w:val="00F461F1"/>
    <w:rsid w:val="00F55142"/>
    <w:rsid w:val="00F66B10"/>
    <w:rsid w:val="00F72877"/>
    <w:rsid w:val="00FE404D"/>
    <w:rsid w:val="00FF78F4"/>
    <w:rsid w:val="155BE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BC5F"/>
  <w15:docId w15:val="{3A2C9658-52B3-499D-8DF7-DB1B4530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437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43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3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90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97C"/>
    <w:rPr>
      <w:rFonts w:ascii="Tahoma" w:eastAsia="Times New Roman" w:hAnsi="Tahoma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A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7C"/>
    <w:rPr>
      <w:rFonts w:ascii="Tahoma" w:eastAsia="Times New Roman" w:hAnsi="Tahoma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aculties\Science\Science%20Admin\Job%20Profiles\Science%20Teacher%20Job%20Pro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FFC7-B309-4262-97ED-5D9A6B52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 Teacher Job Profile</Template>
  <TotalTime>4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Burford</dc:creator>
  <cp:lastModifiedBy>Mrs H Parsonage</cp:lastModifiedBy>
  <cp:revision>3</cp:revision>
  <cp:lastPrinted>2018-09-24T14:20:00Z</cp:lastPrinted>
  <dcterms:created xsi:type="dcterms:W3CDTF">2020-02-03T12:03:00Z</dcterms:created>
  <dcterms:modified xsi:type="dcterms:W3CDTF">2020-02-03T12:07:00Z</dcterms:modified>
</cp:coreProperties>
</file>