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676" w:rsidRDefault="00DF6A50">
      <w:pPr>
        <w:tabs>
          <w:tab w:val="center" w:pos="4320"/>
          <w:tab w:val="right" w:pos="8640"/>
        </w:tabs>
        <w:ind w:left="-567"/>
        <w:rPr>
          <w:rFonts w:ascii="Arial" w:eastAsia="Arial" w:hAnsi="Arial" w:cs="Arial"/>
          <w:sz w:val="22"/>
          <w:szCs w:val="22"/>
        </w:rPr>
      </w:pPr>
      <w:bookmarkStart w:id="0" w:name="_GoBack"/>
      <w:bookmarkEnd w:id="0"/>
      <w:r>
        <w:rPr>
          <w:noProof/>
        </w:rPr>
        <w:drawing>
          <wp:inline distT="0" distB="0" distL="114300" distR="114300">
            <wp:extent cx="2211705" cy="105219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211705" cy="1052195"/>
                    </a:xfrm>
                    <a:prstGeom prst="rect">
                      <a:avLst/>
                    </a:prstGeom>
                    <a:ln/>
                  </pic:spPr>
                </pic:pic>
              </a:graphicData>
            </a:graphic>
          </wp:inline>
        </w:drawing>
      </w:r>
    </w:p>
    <w:p w:rsidR="003F1676" w:rsidRDefault="00DF6A50">
      <w:pPr>
        <w:jc w:val="center"/>
        <w:rPr>
          <w:rFonts w:ascii="Arial" w:eastAsia="Arial" w:hAnsi="Arial" w:cs="Arial"/>
          <w:sz w:val="26"/>
          <w:szCs w:val="26"/>
        </w:rPr>
      </w:pPr>
      <w:r>
        <w:rPr>
          <w:rFonts w:ascii="Arial" w:eastAsia="Arial" w:hAnsi="Arial" w:cs="Arial"/>
          <w:b/>
          <w:sz w:val="26"/>
          <w:szCs w:val="26"/>
        </w:rPr>
        <w:t>Job Description</w:t>
      </w:r>
    </w:p>
    <w:tbl>
      <w:tblPr>
        <w:tblStyle w:val="a"/>
        <w:tblW w:w="108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3"/>
        <w:gridCol w:w="8417"/>
      </w:tblGrid>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Post Title:</w:t>
            </w:r>
          </w:p>
        </w:tc>
        <w:tc>
          <w:tcPr>
            <w:tcW w:w="8417" w:type="dxa"/>
          </w:tcPr>
          <w:p w:rsidR="003F1676" w:rsidRDefault="00DF6A50">
            <w:pPr>
              <w:jc w:val="both"/>
              <w:rPr>
                <w:rFonts w:ascii="Arial" w:eastAsia="Arial" w:hAnsi="Arial" w:cs="Arial"/>
                <w:sz w:val="22"/>
                <w:szCs w:val="22"/>
              </w:rPr>
            </w:pPr>
            <w:r>
              <w:rPr>
                <w:rFonts w:ascii="Arial" w:eastAsia="Arial" w:hAnsi="Arial" w:cs="Arial"/>
                <w:b/>
                <w:sz w:val="22"/>
                <w:szCs w:val="22"/>
              </w:rPr>
              <w:t>Assistant Head of Social Sciences Faculty</w:t>
            </w: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Purpose:</w:t>
            </w:r>
          </w:p>
        </w:tc>
        <w:tc>
          <w:tcPr>
            <w:tcW w:w="8417" w:type="dxa"/>
          </w:tcPr>
          <w:p w:rsidR="003F1676" w:rsidRDefault="00DF6A50">
            <w:pPr>
              <w:numPr>
                <w:ilvl w:val="0"/>
                <w:numId w:val="4"/>
              </w:numPr>
              <w:ind w:left="432" w:hanging="432"/>
              <w:jc w:val="both"/>
              <w:rPr>
                <w:sz w:val="22"/>
                <w:szCs w:val="22"/>
              </w:rPr>
            </w:pPr>
            <w:r>
              <w:rPr>
                <w:rFonts w:ascii="Arial" w:eastAsia="Arial" w:hAnsi="Arial" w:cs="Arial"/>
                <w:sz w:val="22"/>
                <w:szCs w:val="22"/>
              </w:rPr>
              <w:t xml:space="preserve">To raise standards of student attainment and achievement within the Faculty and to monitor and support student progress. </w:t>
            </w:r>
            <w:r>
              <w:rPr>
                <w:rFonts w:ascii="Arial" w:eastAsia="Arial" w:hAnsi="Arial" w:cs="Arial"/>
                <w:sz w:val="22"/>
                <w:szCs w:val="22"/>
              </w:rPr>
              <w:t xml:space="preserve"> </w:t>
            </w:r>
          </w:p>
          <w:p w:rsidR="003F1676" w:rsidRDefault="00DF6A50">
            <w:pPr>
              <w:numPr>
                <w:ilvl w:val="0"/>
                <w:numId w:val="4"/>
              </w:numPr>
              <w:ind w:left="432" w:hanging="432"/>
              <w:jc w:val="both"/>
              <w:rPr>
                <w:sz w:val="22"/>
                <w:szCs w:val="22"/>
              </w:rPr>
            </w:pPr>
            <w:r>
              <w:rPr>
                <w:rFonts w:ascii="Arial" w:eastAsia="Arial" w:hAnsi="Arial" w:cs="Arial"/>
                <w:sz w:val="22"/>
                <w:szCs w:val="22"/>
              </w:rPr>
              <w:t>To be accountable for student progress and development within the Faculty across all key stages.</w:t>
            </w:r>
          </w:p>
          <w:p w:rsidR="003F1676" w:rsidRDefault="00DF6A50">
            <w:pPr>
              <w:numPr>
                <w:ilvl w:val="0"/>
                <w:numId w:val="2"/>
              </w:numPr>
              <w:rPr>
                <w:sz w:val="22"/>
                <w:szCs w:val="22"/>
              </w:rPr>
            </w:pPr>
            <w:r>
              <w:rPr>
                <w:rFonts w:ascii="Arial" w:eastAsia="Arial" w:hAnsi="Arial" w:cs="Arial"/>
                <w:sz w:val="22"/>
                <w:szCs w:val="22"/>
              </w:rPr>
              <w:t>To be innovative in own teaching and to develop and enhance the teaching practice of others.</w:t>
            </w:r>
          </w:p>
          <w:p w:rsidR="003F1676" w:rsidRDefault="00DF6A50">
            <w:pPr>
              <w:numPr>
                <w:ilvl w:val="0"/>
                <w:numId w:val="2"/>
              </w:numPr>
              <w:rPr>
                <w:sz w:val="22"/>
                <w:szCs w:val="22"/>
              </w:rPr>
            </w:pPr>
            <w:r>
              <w:rPr>
                <w:rFonts w:ascii="Arial" w:eastAsia="Arial" w:hAnsi="Arial" w:cs="Arial"/>
                <w:sz w:val="22"/>
                <w:szCs w:val="22"/>
              </w:rPr>
              <w:t>Take a lead in planning collaboratively with colleagues in order t</w:t>
            </w:r>
            <w:r>
              <w:rPr>
                <w:rFonts w:ascii="Arial" w:eastAsia="Arial" w:hAnsi="Arial" w:cs="Arial"/>
                <w:sz w:val="22"/>
                <w:szCs w:val="22"/>
              </w:rPr>
              <w:t>o promote effective practice.</w:t>
            </w:r>
          </w:p>
          <w:p w:rsidR="003F1676" w:rsidRDefault="00DF6A50">
            <w:pPr>
              <w:numPr>
                <w:ilvl w:val="0"/>
                <w:numId w:val="4"/>
              </w:numPr>
              <w:ind w:left="432" w:hanging="432"/>
              <w:jc w:val="both"/>
              <w:rPr>
                <w:sz w:val="22"/>
                <w:szCs w:val="22"/>
              </w:rPr>
            </w:pPr>
            <w:r>
              <w:rPr>
                <w:rFonts w:ascii="Arial" w:eastAsia="Arial" w:hAnsi="Arial" w:cs="Arial"/>
                <w:sz w:val="22"/>
                <w:szCs w:val="22"/>
              </w:rPr>
              <w:t>To ensure the provision of an appropriately broad, balanced, relevant and differentiated curriculum for students studying in the Faculty</w:t>
            </w:r>
            <w:r>
              <w:rPr>
                <w:rFonts w:ascii="Arial" w:eastAsia="Arial" w:hAnsi="Arial" w:cs="Arial"/>
                <w:sz w:val="22"/>
                <w:szCs w:val="22"/>
              </w:rPr>
              <w:t>,</w:t>
            </w:r>
            <w:r>
              <w:rPr>
                <w:rFonts w:ascii="Arial" w:eastAsia="Arial" w:hAnsi="Arial" w:cs="Arial"/>
                <w:sz w:val="22"/>
                <w:szCs w:val="22"/>
              </w:rPr>
              <w:t xml:space="preserve"> in accordance with the aims of the school and the curricular policies determined by the </w:t>
            </w:r>
            <w:r>
              <w:rPr>
                <w:rFonts w:ascii="Arial" w:eastAsia="Arial" w:hAnsi="Arial" w:cs="Arial"/>
                <w:sz w:val="22"/>
                <w:szCs w:val="22"/>
              </w:rPr>
              <w:t>Governing Body and Headteacher of the school.</w:t>
            </w:r>
          </w:p>
          <w:p w:rsidR="003F1676" w:rsidRDefault="00DF6A50">
            <w:pPr>
              <w:numPr>
                <w:ilvl w:val="0"/>
                <w:numId w:val="4"/>
              </w:numPr>
              <w:ind w:left="432" w:hanging="432"/>
              <w:jc w:val="both"/>
              <w:rPr>
                <w:sz w:val="22"/>
                <w:szCs w:val="22"/>
              </w:rPr>
            </w:pPr>
            <w:r>
              <w:rPr>
                <w:rFonts w:ascii="Arial" w:eastAsia="Arial" w:hAnsi="Arial" w:cs="Arial"/>
                <w:sz w:val="22"/>
                <w:szCs w:val="22"/>
              </w:rPr>
              <w:t xml:space="preserve">To be accountable for leading, managing and developing subjects within the Faculty. </w:t>
            </w:r>
          </w:p>
          <w:p w:rsidR="003F1676" w:rsidRDefault="00DF6A50">
            <w:pPr>
              <w:numPr>
                <w:ilvl w:val="0"/>
                <w:numId w:val="4"/>
              </w:numPr>
              <w:ind w:left="432" w:hanging="432"/>
              <w:jc w:val="both"/>
              <w:rPr>
                <w:sz w:val="22"/>
                <w:szCs w:val="22"/>
              </w:rPr>
            </w:pPr>
            <w:r>
              <w:rPr>
                <w:rFonts w:ascii="Arial" w:eastAsia="Arial" w:hAnsi="Arial" w:cs="Arial"/>
                <w:sz w:val="22"/>
                <w:szCs w:val="22"/>
              </w:rPr>
              <w:t>To effectively manage and deploy teaching/support staff, financial and physical resources within the Faculty to support the d</w:t>
            </w:r>
            <w:r>
              <w:rPr>
                <w:rFonts w:ascii="Arial" w:eastAsia="Arial" w:hAnsi="Arial" w:cs="Arial"/>
                <w:sz w:val="22"/>
                <w:szCs w:val="22"/>
              </w:rPr>
              <w:t>esignated curriculum portfolio.</w:t>
            </w:r>
          </w:p>
          <w:p w:rsidR="003F1676" w:rsidRDefault="00DF6A50">
            <w:pPr>
              <w:numPr>
                <w:ilvl w:val="0"/>
                <w:numId w:val="4"/>
              </w:numPr>
              <w:ind w:left="432" w:hanging="432"/>
              <w:jc w:val="both"/>
              <w:rPr>
                <w:sz w:val="22"/>
                <w:szCs w:val="22"/>
              </w:rPr>
            </w:pPr>
            <w:r>
              <w:rPr>
                <w:rFonts w:ascii="Arial" w:eastAsia="Arial" w:hAnsi="Arial" w:cs="Arial"/>
                <w:sz w:val="22"/>
                <w:szCs w:val="22"/>
              </w:rPr>
              <w:t xml:space="preserve">To line manage </w:t>
            </w:r>
            <w:r>
              <w:rPr>
                <w:rFonts w:ascii="Arial" w:eastAsia="Arial" w:hAnsi="Arial" w:cs="Arial"/>
                <w:sz w:val="22"/>
                <w:szCs w:val="22"/>
              </w:rPr>
              <w:t>subject(s) within the Faculty.</w:t>
            </w:r>
          </w:p>
        </w:tc>
      </w:tr>
      <w:tr w:rsidR="003F1676">
        <w:tc>
          <w:tcPr>
            <w:tcW w:w="2383" w:type="dxa"/>
          </w:tcPr>
          <w:p w:rsidR="003F1676" w:rsidRDefault="003F1676">
            <w:pPr>
              <w:rPr>
                <w:rFonts w:ascii="Arial" w:eastAsia="Arial" w:hAnsi="Arial" w:cs="Arial"/>
                <w:b/>
                <w:sz w:val="22"/>
                <w:szCs w:val="22"/>
              </w:rPr>
            </w:pPr>
          </w:p>
        </w:tc>
        <w:tc>
          <w:tcPr>
            <w:tcW w:w="8417" w:type="dxa"/>
          </w:tcPr>
          <w:p w:rsidR="003F1676" w:rsidRDefault="003F1676">
            <w:pPr>
              <w:jc w:val="both"/>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Reporting to:</w:t>
            </w:r>
          </w:p>
        </w:tc>
        <w:tc>
          <w:tcPr>
            <w:tcW w:w="8417" w:type="dxa"/>
          </w:tcPr>
          <w:p w:rsidR="003F1676" w:rsidRDefault="00DF6A50">
            <w:pPr>
              <w:jc w:val="both"/>
              <w:rPr>
                <w:rFonts w:ascii="Arial" w:eastAsia="Arial" w:hAnsi="Arial" w:cs="Arial"/>
                <w:sz w:val="22"/>
                <w:szCs w:val="22"/>
              </w:rPr>
            </w:pPr>
            <w:r>
              <w:rPr>
                <w:rFonts w:ascii="Arial" w:eastAsia="Arial" w:hAnsi="Arial" w:cs="Arial"/>
                <w:sz w:val="22"/>
                <w:szCs w:val="22"/>
              </w:rPr>
              <w:t>Head of Faculty / SLT Line Manager</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jc w:val="both"/>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Responsible for:</w:t>
            </w:r>
          </w:p>
        </w:tc>
        <w:tc>
          <w:tcPr>
            <w:tcW w:w="8417" w:type="dxa"/>
          </w:tcPr>
          <w:p w:rsidR="003F1676" w:rsidRDefault="00DF6A50">
            <w:pPr>
              <w:rPr>
                <w:rFonts w:ascii="Arial" w:eastAsia="Arial" w:hAnsi="Arial" w:cs="Arial"/>
                <w:sz w:val="22"/>
                <w:szCs w:val="22"/>
              </w:rPr>
            </w:pPr>
            <w:r>
              <w:rPr>
                <w:rFonts w:ascii="Arial" w:eastAsia="Arial" w:hAnsi="Arial" w:cs="Arial"/>
                <w:sz w:val="22"/>
                <w:szCs w:val="22"/>
              </w:rPr>
              <w:t>Teaching staff and other relevant personnel within the department.</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jc w:val="both"/>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Liaising with:</w:t>
            </w:r>
          </w:p>
        </w:tc>
        <w:tc>
          <w:tcPr>
            <w:tcW w:w="8417" w:type="dxa"/>
          </w:tcPr>
          <w:p w:rsidR="003F1676" w:rsidRDefault="00DF6A50">
            <w:pPr>
              <w:rPr>
                <w:rFonts w:ascii="Arial" w:eastAsia="Arial" w:hAnsi="Arial" w:cs="Arial"/>
                <w:sz w:val="22"/>
                <w:szCs w:val="22"/>
              </w:rPr>
            </w:pPr>
            <w:r>
              <w:rPr>
                <w:rFonts w:ascii="Arial" w:eastAsia="Arial" w:hAnsi="Arial" w:cs="Arial"/>
                <w:sz w:val="22"/>
                <w:szCs w:val="22"/>
              </w:rPr>
              <w:t xml:space="preserve">Head of Faculty, </w:t>
            </w:r>
            <w:r>
              <w:rPr>
                <w:rFonts w:ascii="Arial" w:eastAsia="Arial" w:hAnsi="Arial" w:cs="Arial"/>
                <w:sz w:val="22"/>
                <w:szCs w:val="22"/>
              </w:rPr>
              <w:t>Head/Deputies/SLT, Pastoral Leaders and relevant staff with cross-school responsibilities, relevant support staff</w:t>
            </w:r>
            <w:proofErr w:type="gramStart"/>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 xml:space="preserve"> staff</w:t>
            </w:r>
            <w:proofErr w:type="gramEnd"/>
            <w:r>
              <w:rPr>
                <w:rFonts w:ascii="Arial" w:eastAsia="Arial" w:hAnsi="Arial" w:cs="Arial"/>
                <w:sz w:val="22"/>
                <w:szCs w:val="22"/>
              </w:rPr>
              <w:t xml:space="preserve">. across the </w:t>
            </w:r>
            <w:proofErr w:type="spellStart"/>
            <w:r>
              <w:rPr>
                <w:rFonts w:ascii="Arial" w:eastAsia="Arial" w:hAnsi="Arial" w:cs="Arial"/>
                <w:sz w:val="22"/>
                <w:szCs w:val="22"/>
              </w:rPr>
              <w:t>TRust</w:t>
            </w:r>
            <w:proofErr w:type="spellEnd"/>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jc w:val="both"/>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Working Time:</w:t>
            </w:r>
          </w:p>
        </w:tc>
        <w:tc>
          <w:tcPr>
            <w:tcW w:w="8417" w:type="dxa"/>
          </w:tcPr>
          <w:p w:rsidR="003F1676" w:rsidRDefault="00DF6A50">
            <w:pPr>
              <w:rPr>
                <w:rFonts w:ascii="Arial" w:eastAsia="Arial" w:hAnsi="Arial" w:cs="Arial"/>
                <w:sz w:val="22"/>
                <w:szCs w:val="22"/>
              </w:rPr>
            </w:pPr>
            <w:r>
              <w:rPr>
                <w:rFonts w:ascii="Arial" w:eastAsia="Arial" w:hAnsi="Arial" w:cs="Arial"/>
                <w:sz w:val="22"/>
                <w:szCs w:val="22"/>
              </w:rPr>
              <w:t>195 days per year. Full time</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Salary/Grade:</w:t>
            </w:r>
          </w:p>
        </w:tc>
        <w:tc>
          <w:tcPr>
            <w:tcW w:w="8417" w:type="dxa"/>
          </w:tcPr>
          <w:p w:rsidR="003F1676" w:rsidRDefault="00DF6A50">
            <w:pPr>
              <w:rPr>
                <w:rFonts w:ascii="Arial" w:eastAsia="Arial" w:hAnsi="Arial" w:cs="Arial"/>
                <w:sz w:val="22"/>
                <w:szCs w:val="22"/>
              </w:rPr>
            </w:pPr>
            <w:r>
              <w:rPr>
                <w:rFonts w:ascii="Arial" w:eastAsia="Arial" w:hAnsi="Arial" w:cs="Arial"/>
                <w:sz w:val="22"/>
                <w:szCs w:val="22"/>
              </w:rPr>
              <w:t xml:space="preserve">TLR </w:t>
            </w:r>
            <w:r>
              <w:rPr>
                <w:rFonts w:ascii="Arial" w:eastAsia="Arial" w:hAnsi="Arial" w:cs="Arial"/>
                <w:sz w:val="22"/>
                <w:szCs w:val="22"/>
              </w:rPr>
              <w:t>2A</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Disclosure level</w:t>
            </w:r>
          </w:p>
        </w:tc>
        <w:tc>
          <w:tcPr>
            <w:tcW w:w="8417" w:type="dxa"/>
          </w:tcPr>
          <w:p w:rsidR="003F1676" w:rsidRDefault="00DF6A50">
            <w:pPr>
              <w:rPr>
                <w:rFonts w:ascii="Arial" w:eastAsia="Arial" w:hAnsi="Arial" w:cs="Arial"/>
                <w:sz w:val="22"/>
                <w:szCs w:val="22"/>
              </w:rPr>
            </w:pPr>
            <w:r>
              <w:rPr>
                <w:rFonts w:ascii="Arial" w:eastAsia="Arial" w:hAnsi="Arial" w:cs="Arial"/>
                <w:sz w:val="22"/>
                <w:szCs w:val="22"/>
              </w:rPr>
              <w:t>Enhanced</w:t>
            </w: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Operational/ Strategic Planning</w:t>
            </w: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tc>
        <w:tc>
          <w:tcPr>
            <w:tcW w:w="8417" w:type="dxa"/>
          </w:tcPr>
          <w:p w:rsidR="003F1676" w:rsidRDefault="00DF6A50">
            <w:pPr>
              <w:numPr>
                <w:ilvl w:val="0"/>
                <w:numId w:val="1"/>
              </w:numPr>
              <w:jc w:val="both"/>
              <w:rPr>
                <w:sz w:val="22"/>
                <w:szCs w:val="22"/>
              </w:rPr>
            </w:pPr>
            <w:r>
              <w:rPr>
                <w:rFonts w:ascii="Arial" w:eastAsia="Arial" w:hAnsi="Arial" w:cs="Arial"/>
                <w:sz w:val="22"/>
                <w:szCs w:val="22"/>
              </w:rPr>
              <w:t>To lead the development of appropriate syllabuses, resources, schemes of work and teaching and learning strategies in the Faculty</w:t>
            </w:r>
            <w:r>
              <w:rPr>
                <w:rFonts w:ascii="Arial" w:eastAsia="Arial" w:hAnsi="Arial" w:cs="Arial"/>
                <w:sz w:val="22"/>
                <w:szCs w:val="22"/>
              </w:rPr>
              <w:t xml:space="preserve"> </w:t>
            </w:r>
            <w:r>
              <w:rPr>
                <w:rFonts w:ascii="Arial" w:eastAsia="Arial" w:hAnsi="Arial" w:cs="Arial"/>
                <w:sz w:val="22"/>
                <w:szCs w:val="22"/>
              </w:rPr>
              <w:t>which reflect the school’s commitment to high achievement through effective teaching a</w:t>
            </w:r>
            <w:r>
              <w:rPr>
                <w:rFonts w:ascii="Arial" w:eastAsia="Arial" w:hAnsi="Arial" w:cs="Arial"/>
                <w:sz w:val="22"/>
                <w:szCs w:val="22"/>
              </w:rPr>
              <w:t>nd learning.</w:t>
            </w:r>
          </w:p>
          <w:p w:rsidR="003F1676" w:rsidRDefault="00DF6A50">
            <w:pPr>
              <w:numPr>
                <w:ilvl w:val="0"/>
                <w:numId w:val="1"/>
              </w:numPr>
              <w:jc w:val="both"/>
              <w:rPr>
                <w:sz w:val="22"/>
                <w:szCs w:val="22"/>
              </w:rPr>
            </w:pPr>
            <w:r>
              <w:rPr>
                <w:rFonts w:ascii="Arial" w:eastAsia="Arial" w:hAnsi="Arial" w:cs="Arial"/>
                <w:sz w:val="22"/>
                <w:szCs w:val="22"/>
              </w:rPr>
              <w:t>The day-to-day management, control and operation of course provision within the Faculty, including effective deployment of staff, budget and physical resources.</w:t>
            </w:r>
          </w:p>
          <w:p w:rsidR="003F1676" w:rsidRDefault="00DF6A50">
            <w:pPr>
              <w:numPr>
                <w:ilvl w:val="0"/>
                <w:numId w:val="1"/>
              </w:numPr>
              <w:jc w:val="both"/>
              <w:rPr>
                <w:sz w:val="22"/>
                <w:szCs w:val="22"/>
              </w:rPr>
            </w:pPr>
            <w:r>
              <w:rPr>
                <w:rFonts w:ascii="Arial" w:eastAsia="Arial" w:hAnsi="Arial" w:cs="Arial"/>
                <w:sz w:val="22"/>
                <w:szCs w:val="22"/>
              </w:rPr>
              <w:t>To monitor and follow up student progress</w:t>
            </w:r>
          </w:p>
          <w:p w:rsidR="003F1676" w:rsidRDefault="00DF6A50">
            <w:pPr>
              <w:numPr>
                <w:ilvl w:val="0"/>
                <w:numId w:val="1"/>
              </w:numPr>
              <w:jc w:val="both"/>
              <w:rPr>
                <w:sz w:val="22"/>
                <w:szCs w:val="22"/>
              </w:rPr>
            </w:pPr>
            <w:r>
              <w:rPr>
                <w:rFonts w:ascii="Arial" w:eastAsia="Arial" w:hAnsi="Arial" w:cs="Arial"/>
                <w:sz w:val="22"/>
                <w:szCs w:val="22"/>
              </w:rPr>
              <w:t>To implement School Policies and Procedu</w:t>
            </w:r>
            <w:r>
              <w:rPr>
                <w:rFonts w:ascii="Arial" w:eastAsia="Arial" w:hAnsi="Arial" w:cs="Arial"/>
                <w:sz w:val="22"/>
                <w:szCs w:val="22"/>
              </w:rPr>
              <w:t>res, e.g. Equal Opportunities, Health and Safety, COSHH, Return to Work interviews etc.</w:t>
            </w:r>
          </w:p>
          <w:p w:rsidR="003F1676" w:rsidRDefault="00DF6A50">
            <w:pPr>
              <w:numPr>
                <w:ilvl w:val="0"/>
                <w:numId w:val="1"/>
              </w:numPr>
              <w:jc w:val="both"/>
              <w:rPr>
                <w:sz w:val="22"/>
                <w:szCs w:val="22"/>
              </w:rPr>
            </w:pPr>
            <w:r>
              <w:rPr>
                <w:rFonts w:ascii="Arial" w:eastAsia="Arial" w:hAnsi="Arial" w:cs="Arial"/>
                <w:sz w:val="22"/>
                <w:szCs w:val="22"/>
              </w:rPr>
              <w:t xml:space="preserve">To </w:t>
            </w:r>
            <w:r>
              <w:rPr>
                <w:rFonts w:ascii="Arial" w:eastAsia="Arial" w:hAnsi="Arial" w:cs="Arial"/>
                <w:sz w:val="22"/>
                <w:szCs w:val="22"/>
              </w:rPr>
              <w:t xml:space="preserve">formulate aims, objectives and strategic plans for the Faculty which have coherence and relevance to the needs of students and to the aims, objectives and strategic </w:t>
            </w:r>
            <w:r>
              <w:rPr>
                <w:rFonts w:ascii="Arial" w:eastAsia="Arial" w:hAnsi="Arial" w:cs="Arial"/>
                <w:sz w:val="22"/>
                <w:szCs w:val="22"/>
              </w:rPr>
              <w:t>plans of the School.</w:t>
            </w:r>
          </w:p>
          <w:p w:rsidR="003F1676" w:rsidRDefault="00DF6A50">
            <w:pPr>
              <w:numPr>
                <w:ilvl w:val="0"/>
                <w:numId w:val="1"/>
              </w:numPr>
              <w:jc w:val="both"/>
              <w:rPr>
                <w:rFonts w:ascii="Arial" w:eastAsia="Arial" w:hAnsi="Arial" w:cs="Arial"/>
                <w:sz w:val="22"/>
                <w:szCs w:val="22"/>
              </w:rPr>
            </w:pPr>
            <w:r>
              <w:rPr>
                <w:rFonts w:ascii="Arial" w:eastAsia="Arial" w:hAnsi="Arial" w:cs="Arial"/>
                <w:sz w:val="22"/>
                <w:szCs w:val="22"/>
              </w:rPr>
              <w:t>To work alongside the Head of Faculty to lead and manage the business planning function of the department, and to ensure that the planning activities of the department reflect the needs of the students within the Faculty, SIP/DDP and t</w:t>
            </w:r>
            <w:r>
              <w:rPr>
                <w:rFonts w:ascii="Arial" w:eastAsia="Arial" w:hAnsi="Arial" w:cs="Arial"/>
                <w:sz w:val="22"/>
                <w:szCs w:val="22"/>
              </w:rPr>
              <w:t>he aims and objectives of the School.</w:t>
            </w: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Curriculum Provision:</w:t>
            </w:r>
          </w:p>
        </w:tc>
        <w:tc>
          <w:tcPr>
            <w:tcW w:w="8417" w:type="dxa"/>
          </w:tcPr>
          <w:p w:rsidR="003F1676" w:rsidRDefault="00DF6A50">
            <w:pPr>
              <w:numPr>
                <w:ilvl w:val="0"/>
                <w:numId w:val="1"/>
              </w:numPr>
              <w:jc w:val="both"/>
              <w:rPr>
                <w:sz w:val="22"/>
                <w:szCs w:val="22"/>
              </w:rPr>
            </w:pPr>
            <w:r>
              <w:rPr>
                <w:rFonts w:ascii="Arial" w:eastAsia="Arial" w:hAnsi="Arial" w:cs="Arial"/>
                <w:sz w:val="22"/>
                <w:szCs w:val="22"/>
              </w:rPr>
              <w:t>To liaise with the Head of Faculty to ensure the delivery of an appropriate, comprehensive, high quality and cost-effective curriculum programme which complements the School Improvement Plan/Scho</w:t>
            </w:r>
            <w:r>
              <w:rPr>
                <w:rFonts w:ascii="Arial" w:eastAsia="Arial" w:hAnsi="Arial" w:cs="Arial"/>
                <w:sz w:val="22"/>
                <w:szCs w:val="22"/>
              </w:rPr>
              <w:t>ol Evaluation.</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jc w:val="both"/>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lastRenderedPageBreak/>
              <w:t>Curriculum Development:</w:t>
            </w:r>
          </w:p>
        </w:tc>
        <w:tc>
          <w:tcPr>
            <w:tcW w:w="8417" w:type="dxa"/>
          </w:tcPr>
          <w:p w:rsidR="003F1676" w:rsidRDefault="00DF6A50">
            <w:pPr>
              <w:numPr>
                <w:ilvl w:val="0"/>
                <w:numId w:val="1"/>
              </w:numPr>
              <w:jc w:val="both"/>
              <w:rPr>
                <w:sz w:val="22"/>
                <w:szCs w:val="22"/>
              </w:rPr>
            </w:pPr>
            <w:r>
              <w:rPr>
                <w:rFonts w:ascii="Arial" w:eastAsia="Arial" w:hAnsi="Arial" w:cs="Arial"/>
                <w:sz w:val="22"/>
                <w:szCs w:val="22"/>
              </w:rPr>
              <w:t>To keep up to date with national developments in subject areas and teaching practice and methodology.</w:t>
            </w:r>
          </w:p>
          <w:p w:rsidR="003F1676" w:rsidRDefault="00DF6A50">
            <w:pPr>
              <w:numPr>
                <w:ilvl w:val="0"/>
                <w:numId w:val="1"/>
              </w:numPr>
              <w:jc w:val="both"/>
              <w:rPr>
                <w:sz w:val="22"/>
                <w:szCs w:val="22"/>
              </w:rPr>
            </w:pPr>
            <w:r>
              <w:rPr>
                <w:rFonts w:ascii="Arial" w:eastAsia="Arial" w:hAnsi="Arial" w:cs="Arial"/>
                <w:sz w:val="22"/>
                <w:szCs w:val="22"/>
              </w:rPr>
              <w:t>To monitor and respond to curriculum development and initiatives at national, regional and local levels.</w:t>
            </w:r>
          </w:p>
          <w:p w:rsidR="003F1676" w:rsidRDefault="00DF6A50">
            <w:pPr>
              <w:numPr>
                <w:ilvl w:val="0"/>
                <w:numId w:val="1"/>
              </w:numPr>
              <w:jc w:val="both"/>
              <w:rPr>
                <w:sz w:val="22"/>
                <w:szCs w:val="22"/>
              </w:rPr>
            </w:pPr>
            <w:r>
              <w:rPr>
                <w:rFonts w:ascii="Arial" w:eastAsia="Arial" w:hAnsi="Arial" w:cs="Arial"/>
                <w:sz w:val="22"/>
                <w:szCs w:val="22"/>
              </w:rPr>
              <w:t>To identify and explore links within and between subjects/curriculum areas.</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Teaching &amp; Learning</w:t>
            </w:r>
          </w:p>
        </w:tc>
        <w:tc>
          <w:tcPr>
            <w:tcW w:w="8417" w:type="dxa"/>
          </w:tcPr>
          <w:p w:rsidR="003F1676" w:rsidRDefault="00DF6A50">
            <w:pPr>
              <w:numPr>
                <w:ilvl w:val="0"/>
                <w:numId w:val="3"/>
              </w:numPr>
              <w:jc w:val="both"/>
              <w:rPr>
                <w:sz w:val="22"/>
                <w:szCs w:val="22"/>
              </w:rPr>
            </w:pPr>
            <w:r>
              <w:rPr>
                <w:rFonts w:ascii="Arial" w:eastAsia="Arial" w:hAnsi="Arial" w:cs="Arial"/>
                <w:sz w:val="22"/>
                <w:szCs w:val="22"/>
              </w:rPr>
              <w:t>Ensure continuity and progression by supporting colleagues in choosing the appropriate sequence of teaching and teaching methods and setting clear learning objectives through an agreed scheme of work, developed in line with the school improvement plan.</w:t>
            </w:r>
          </w:p>
          <w:p w:rsidR="003F1676" w:rsidRDefault="00DF6A50">
            <w:pPr>
              <w:numPr>
                <w:ilvl w:val="0"/>
                <w:numId w:val="3"/>
              </w:numPr>
              <w:jc w:val="both"/>
              <w:rPr>
                <w:sz w:val="22"/>
                <w:szCs w:val="22"/>
              </w:rPr>
            </w:pPr>
            <w:r>
              <w:rPr>
                <w:rFonts w:ascii="Arial" w:eastAsia="Arial" w:hAnsi="Arial" w:cs="Arial"/>
                <w:sz w:val="22"/>
                <w:szCs w:val="22"/>
              </w:rPr>
              <w:t>Eva</w:t>
            </w:r>
            <w:r>
              <w:rPr>
                <w:rFonts w:ascii="Arial" w:eastAsia="Arial" w:hAnsi="Arial" w:cs="Arial"/>
                <w:sz w:val="22"/>
                <w:szCs w:val="22"/>
              </w:rPr>
              <w:t xml:space="preserve">luate the teaching in the </w:t>
            </w:r>
            <w:r>
              <w:rPr>
                <w:rFonts w:ascii="Arial" w:eastAsia="Arial" w:hAnsi="Arial" w:cs="Arial"/>
                <w:sz w:val="22"/>
                <w:szCs w:val="22"/>
              </w:rPr>
              <w:t>Faculty</w:t>
            </w:r>
            <w:r>
              <w:rPr>
                <w:rFonts w:ascii="Arial" w:eastAsia="Arial" w:hAnsi="Arial" w:cs="Arial"/>
                <w:sz w:val="22"/>
                <w:szCs w:val="22"/>
              </w:rPr>
              <w:t xml:space="preserve"> by </w:t>
            </w:r>
            <w:proofErr w:type="gramStart"/>
            <w:r>
              <w:rPr>
                <w:rFonts w:ascii="Arial" w:eastAsia="Arial" w:hAnsi="Arial" w:cs="Arial"/>
                <w:sz w:val="22"/>
                <w:szCs w:val="22"/>
              </w:rPr>
              <w:t>the  monitoring</w:t>
            </w:r>
            <w:proofErr w:type="gramEnd"/>
            <w:r>
              <w:rPr>
                <w:rFonts w:ascii="Arial" w:eastAsia="Arial" w:hAnsi="Arial" w:cs="Arial"/>
                <w:sz w:val="22"/>
                <w:szCs w:val="22"/>
              </w:rPr>
              <w:t xml:space="preserve"> of student outcomes and through work analysis, identify effective practice and areas for improvement and take appropriate action to improve further the quality of teaching.</w:t>
            </w:r>
          </w:p>
          <w:p w:rsidR="003F1676" w:rsidRDefault="00DF6A50">
            <w:pPr>
              <w:numPr>
                <w:ilvl w:val="0"/>
                <w:numId w:val="3"/>
              </w:numPr>
              <w:jc w:val="both"/>
              <w:rPr>
                <w:sz w:val="22"/>
                <w:szCs w:val="22"/>
              </w:rPr>
            </w:pPr>
            <w:r>
              <w:rPr>
                <w:rFonts w:ascii="Arial" w:eastAsia="Arial" w:hAnsi="Arial" w:cs="Arial"/>
                <w:sz w:val="22"/>
                <w:szCs w:val="22"/>
              </w:rPr>
              <w:t xml:space="preserve">Monitor achievement and progress </w:t>
            </w:r>
            <w:r>
              <w:rPr>
                <w:rFonts w:ascii="Arial" w:eastAsia="Arial" w:hAnsi="Arial" w:cs="Arial"/>
                <w:sz w:val="22"/>
                <w:szCs w:val="22"/>
              </w:rPr>
              <w:t xml:space="preserve">across the Faculty </w:t>
            </w:r>
            <w:r>
              <w:rPr>
                <w:rFonts w:ascii="Arial" w:eastAsia="Arial" w:hAnsi="Arial" w:cs="Arial"/>
                <w:sz w:val="22"/>
                <w:szCs w:val="22"/>
              </w:rPr>
              <w:t>to ensure that underachieving students are identified and appropriate intervention is implemented.</w:t>
            </w:r>
          </w:p>
          <w:p w:rsidR="003F1676" w:rsidRDefault="00DF6A50">
            <w:pPr>
              <w:numPr>
                <w:ilvl w:val="0"/>
                <w:numId w:val="3"/>
              </w:numPr>
              <w:rPr>
                <w:sz w:val="22"/>
                <w:szCs w:val="22"/>
              </w:rPr>
            </w:pPr>
            <w:r>
              <w:rPr>
                <w:rFonts w:ascii="Arial" w:eastAsia="Arial" w:hAnsi="Arial" w:cs="Arial"/>
                <w:sz w:val="22"/>
                <w:szCs w:val="22"/>
              </w:rPr>
              <w:t>To be a role model in setting and establishing the standards expected in teaching and learning in line wi</w:t>
            </w:r>
            <w:r>
              <w:rPr>
                <w:rFonts w:ascii="Arial" w:eastAsia="Arial" w:hAnsi="Arial" w:cs="Arial"/>
                <w:sz w:val="22"/>
                <w:szCs w:val="22"/>
              </w:rPr>
              <w:t>th the school improvement plan including the development of active learning styles.</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Staffing</w:t>
            </w:r>
          </w:p>
          <w:p w:rsidR="003F1676" w:rsidRDefault="003F1676">
            <w:pPr>
              <w:rPr>
                <w:rFonts w:ascii="Arial" w:eastAsia="Arial" w:hAnsi="Arial" w:cs="Arial"/>
                <w:sz w:val="22"/>
                <w:szCs w:val="22"/>
                <w:u w:val="single"/>
              </w:rPr>
            </w:pPr>
          </w:p>
          <w:p w:rsidR="003F1676" w:rsidRDefault="00DF6A50">
            <w:pPr>
              <w:rPr>
                <w:rFonts w:ascii="Arial" w:eastAsia="Arial" w:hAnsi="Arial" w:cs="Arial"/>
                <w:sz w:val="22"/>
                <w:szCs w:val="22"/>
              </w:rPr>
            </w:pPr>
            <w:r>
              <w:rPr>
                <w:rFonts w:ascii="Arial" w:eastAsia="Arial" w:hAnsi="Arial" w:cs="Arial"/>
                <w:b/>
                <w:sz w:val="22"/>
                <w:szCs w:val="22"/>
              </w:rPr>
              <w:t>Staff Development:</w:t>
            </w:r>
          </w:p>
          <w:p w:rsidR="003F1676" w:rsidRDefault="003F1676">
            <w:pPr>
              <w:rPr>
                <w:rFonts w:ascii="Arial" w:eastAsia="Arial" w:hAnsi="Arial" w:cs="Arial"/>
                <w:sz w:val="22"/>
                <w:szCs w:val="22"/>
              </w:rPr>
            </w:pPr>
          </w:p>
          <w:p w:rsidR="003F1676" w:rsidRDefault="00DF6A50">
            <w:pPr>
              <w:rPr>
                <w:rFonts w:ascii="Arial" w:eastAsia="Arial" w:hAnsi="Arial" w:cs="Arial"/>
                <w:sz w:val="22"/>
                <w:szCs w:val="22"/>
              </w:rPr>
            </w:pPr>
            <w:r>
              <w:rPr>
                <w:rFonts w:ascii="Arial" w:eastAsia="Arial" w:hAnsi="Arial" w:cs="Arial"/>
                <w:b/>
                <w:sz w:val="22"/>
                <w:szCs w:val="22"/>
              </w:rPr>
              <w:t>Recruitment/ Deployment of Staff</w:t>
            </w:r>
          </w:p>
        </w:tc>
        <w:tc>
          <w:tcPr>
            <w:tcW w:w="8417" w:type="dxa"/>
          </w:tcPr>
          <w:p w:rsidR="003F1676" w:rsidRDefault="00DF6A50">
            <w:pPr>
              <w:numPr>
                <w:ilvl w:val="0"/>
                <w:numId w:val="1"/>
              </w:numPr>
              <w:jc w:val="both"/>
              <w:rPr>
                <w:sz w:val="22"/>
                <w:szCs w:val="22"/>
              </w:rPr>
            </w:pPr>
            <w:r>
              <w:rPr>
                <w:rFonts w:ascii="Arial" w:eastAsia="Arial" w:hAnsi="Arial" w:cs="Arial"/>
                <w:sz w:val="22"/>
                <w:szCs w:val="22"/>
              </w:rPr>
              <w:t>To ensure that staff development needs are identified and that appropriate programmes are designed to mee</w:t>
            </w:r>
            <w:r>
              <w:rPr>
                <w:rFonts w:ascii="Arial" w:eastAsia="Arial" w:hAnsi="Arial" w:cs="Arial"/>
                <w:sz w:val="22"/>
                <w:szCs w:val="22"/>
              </w:rPr>
              <w:t>t such needs.</w:t>
            </w:r>
          </w:p>
          <w:p w:rsidR="003F1676" w:rsidRDefault="00DF6A50">
            <w:pPr>
              <w:numPr>
                <w:ilvl w:val="0"/>
                <w:numId w:val="1"/>
              </w:numPr>
              <w:jc w:val="both"/>
              <w:rPr>
                <w:sz w:val="22"/>
                <w:szCs w:val="22"/>
              </w:rPr>
            </w:pPr>
            <w:r>
              <w:rPr>
                <w:rFonts w:ascii="Arial" w:eastAsia="Arial" w:hAnsi="Arial" w:cs="Arial"/>
                <w:sz w:val="22"/>
                <w:szCs w:val="22"/>
              </w:rPr>
              <w:t>To undertake Performance Management Review(s) and to act as reviewer for a group of staff within the Faculty.</w:t>
            </w:r>
          </w:p>
          <w:p w:rsidR="003F1676" w:rsidRDefault="00DF6A50">
            <w:pPr>
              <w:numPr>
                <w:ilvl w:val="0"/>
                <w:numId w:val="1"/>
              </w:numPr>
              <w:jc w:val="both"/>
              <w:rPr>
                <w:sz w:val="22"/>
                <w:szCs w:val="22"/>
              </w:rPr>
            </w:pPr>
            <w:r>
              <w:rPr>
                <w:rFonts w:ascii="Arial" w:eastAsia="Arial" w:hAnsi="Arial" w:cs="Arial"/>
                <w:sz w:val="22"/>
                <w:szCs w:val="22"/>
              </w:rPr>
              <w:t>To ensure effective induction of new staff in line with School procedures.</w:t>
            </w:r>
          </w:p>
          <w:p w:rsidR="003F1676" w:rsidRDefault="00DF6A50">
            <w:pPr>
              <w:numPr>
                <w:ilvl w:val="0"/>
                <w:numId w:val="1"/>
              </w:numPr>
              <w:jc w:val="both"/>
              <w:rPr>
                <w:sz w:val="22"/>
                <w:szCs w:val="22"/>
              </w:rPr>
            </w:pPr>
            <w:r>
              <w:rPr>
                <w:rFonts w:ascii="Arial" w:eastAsia="Arial" w:hAnsi="Arial" w:cs="Arial"/>
                <w:sz w:val="22"/>
                <w:szCs w:val="22"/>
              </w:rPr>
              <w:t>To promote teamwork and to motivate staff to ensure effec</w:t>
            </w:r>
            <w:r>
              <w:rPr>
                <w:rFonts w:ascii="Arial" w:eastAsia="Arial" w:hAnsi="Arial" w:cs="Arial"/>
                <w:sz w:val="22"/>
                <w:szCs w:val="22"/>
              </w:rPr>
              <w:t>tive working relations.</w:t>
            </w:r>
          </w:p>
          <w:p w:rsidR="003F1676" w:rsidRDefault="00DF6A50">
            <w:pPr>
              <w:numPr>
                <w:ilvl w:val="0"/>
                <w:numId w:val="1"/>
              </w:numPr>
              <w:jc w:val="both"/>
              <w:rPr>
                <w:sz w:val="22"/>
                <w:szCs w:val="22"/>
              </w:rPr>
            </w:pPr>
            <w:r>
              <w:rPr>
                <w:rFonts w:ascii="Arial" w:eastAsia="Arial" w:hAnsi="Arial" w:cs="Arial"/>
                <w:sz w:val="22"/>
                <w:szCs w:val="22"/>
              </w:rPr>
              <w:t xml:space="preserve">Demonstrate an ability to </w:t>
            </w:r>
            <w:proofErr w:type="gramStart"/>
            <w:r>
              <w:rPr>
                <w:rFonts w:ascii="Arial" w:eastAsia="Arial" w:hAnsi="Arial" w:cs="Arial"/>
                <w:sz w:val="22"/>
                <w:szCs w:val="22"/>
              </w:rPr>
              <w:t>advise</w:t>
            </w:r>
            <w:proofErr w:type="gramEnd"/>
            <w:r>
              <w:rPr>
                <w:rFonts w:ascii="Arial" w:eastAsia="Arial" w:hAnsi="Arial" w:cs="Arial"/>
                <w:sz w:val="22"/>
                <w:szCs w:val="22"/>
              </w:rPr>
              <w:t xml:space="preserve"> and support other teachers.</w:t>
            </w:r>
          </w:p>
          <w:p w:rsidR="003F1676" w:rsidRDefault="00DF6A50">
            <w:pPr>
              <w:numPr>
                <w:ilvl w:val="0"/>
                <w:numId w:val="1"/>
              </w:numPr>
              <w:jc w:val="both"/>
              <w:rPr>
                <w:sz w:val="22"/>
                <w:szCs w:val="22"/>
              </w:rPr>
            </w:pPr>
            <w:r>
              <w:rPr>
                <w:rFonts w:ascii="Arial" w:eastAsia="Arial" w:hAnsi="Arial" w:cs="Arial"/>
                <w:sz w:val="22"/>
                <w:szCs w:val="22"/>
              </w:rPr>
              <w:t xml:space="preserve">Provide clear feedback, good support and sound advice to others. </w:t>
            </w:r>
          </w:p>
          <w:p w:rsidR="003F1676" w:rsidRDefault="00DF6A50">
            <w:pPr>
              <w:numPr>
                <w:ilvl w:val="0"/>
                <w:numId w:val="1"/>
              </w:numPr>
              <w:jc w:val="both"/>
              <w:rPr>
                <w:sz w:val="22"/>
                <w:szCs w:val="22"/>
              </w:rPr>
            </w:pPr>
            <w:r>
              <w:rPr>
                <w:rFonts w:ascii="Arial" w:eastAsia="Arial" w:hAnsi="Arial" w:cs="Arial"/>
                <w:sz w:val="22"/>
                <w:szCs w:val="22"/>
              </w:rPr>
              <w:t>Help others to evaluate the impact of their teaching on raising students’ achievement.</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Quality Assurance:</w:t>
            </w: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tc>
        <w:tc>
          <w:tcPr>
            <w:tcW w:w="8417" w:type="dxa"/>
          </w:tcPr>
          <w:p w:rsidR="003F1676" w:rsidRDefault="00DF6A50">
            <w:pPr>
              <w:numPr>
                <w:ilvl w:val="0"/>
                <w:numId w:val="1"/>
              </w:numPr>
              <w:jc w:val="both"/>
              <w:rPr>
                <w:sz w:val="22"/>
                <w:szCs w:val="22"/>
              </w:rPr>
            </w:pPr>
            <w:r>
              <w:rPr>
                <w:rFonts w:ascii="Arial" w:eastAsia="Arial" w:hAnsi="Arial" w:cs="Arial"/>
                <w:sz w:val="22"/>
                <w:szCs w:val="22"/>
              </w:rPr>
              <w:t>To establish the process of the setting of targets within the Faculty and to work towards their achievement.</w:t>
            </w:r>
          </w:p>
          <w:p w:rsidR="003F1676" w:rsidRDefault="00DF6A50">
            <w:pPr>
              <w:numPr>
                <w:ilvl w:val="0"/>
                <w:numId w:val="1"/>
              </w:numPr>
              <w:jc w:val="both"/>
              <w:rPr>
                <w:sz w:val="22"/>
                <w:szCs w:val="22"/>
              </w:rPr>
            </w:pPr>
            <w:r>
              <w:rPr>
                <w:rFonts w:ascii="Arial" w:eastAsia="Arial" w:hAnsi="Arial" w:cs="Arial"/>
                <w:sz w:val="22"/>
                <w:szCs w:val="22"/>
              </w:rPr>
              <w:t xml:space="preserve">To establish and quality assure common standards of practice within the </w:t>
            </w:r>
            <w:r>
              <w:rPr>
                <w:rFonts w:ascii="Arial" w:eastAsia="Arial" w:hAnsi="Arial" w:cs="Arial"/>
                <w:sz w:val="22"/>
                <w:szCs w:val="22"/>
              </w:rPr>
              <w:t>Faculty</w:t>
            </w:r>
            <w:r>
              <w:rPr>
                <w:rFonts w:ascii="Arial" w:eastAsia="Arial" w:hAnsi="Arial" w:cs="Arial"/>
                <w:sz w:val="22"/>
                <w:szCs w:val="22"/>
              </w:rPr>
              <w:t xml:space="preserve"> including report data and assessment and deve</w:t>
            </w:r>
            <w:r>
              <w:rPr>
                <w:rFonts w:ascii="Arial" w:eastAsia="Arial" w:hAnsi="Arial" w:cs="Arial"/>
                <w:sz w:val="22"/>
                <w:szCs w:val="22"/>
              </w:rPr>
              <w:t xml:space="preserve">lop the effectiveness of teaching and learning styles. </w:t>
            </w:r>
          </w:p>
          <w:p w:rsidR="003F1676" w:rsidRDefault="00DF6A50">
            <w:pPr>
              <w:numPr>
                <w:ilvl w:val="0"/>
                <w:numId w:val="1"/>
              </w:numPr>
              <w:jc w:val="both"/>
              <w:rPr>
                <w:sz w:val="22"/>
                <w:szCs w:val="22"/>
              </w:rPr>
            </w:pPr>
            <w:r>
              <w:rPr>
                <w:rFonts w:ascii="Arial" w:eastAsia="Arial" w:hAnsi="Arial" w:cs="Arial"/>
                <w:sz w:val="22"/>
                <w:szCs w:val="22"/>
              </w:rPr>
              <w:t>To contribute to the School procedures for lesson observation.</w:t>
            </w:r>
          </w:p>
          <w:p w:rsidR="003F1676" w:rsidRDefault="00DF6A50">
            <w:pPr>
              <w:numPr>
                <w:ilvl w:val="0"/>
                <w:numId w:val="1"/>
              </w:numPr>
              <w:jc w:val="both"/>
              <w:rPr>
                <w:sz w:val="22"/>
                <w:szCs w:val="22"/>
              </w:rPr>
            </w:pPr>
            <w:r>
              <w:rPr>
                <w:rFonts w:ascii="Arial" w:eastAsia="Arial" w:hAnsi="Arial" w:cs="Arial"/>
                <w:sz w:val="22"/>
                <w:szCs w:val="22"/>
              </w:rPr>
              <w:t xml:space="preserve">To monitor and evaluate the Faculty in line with agreed School procedures including evaluation against quality standards and performance </w:t>
            </w:r>
            <w:r>
              <w:rPr>
                <w:rFonts w:ascii="Arial" w:eastAsia="Arial" w:hAnsi="Arial" w:cs="Arial"/>
                <w:sz w:val="22"/>
                <w:szCs w:val="22"/>
              </w:rPr>
              <w:t>criteria.</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jc w:val="both"/>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Management Information:</w:t>
            </w:r>
          </w:p>
        </w:tc>
        <w:tc>
          <w:tcPr>
            <w:tcW w:w="8417" w:type="dxa"/>
          </w:tcPr>
          <w:p w:rsidR="003F1676" w:rsidRDefault="00DF6A50">
            <w:pPr>
              <w:numPr>
                <w:ilvl w:val="0"/>
                <w:numId w:val="1"/>
              </w:numPr>
              <w:jc w:val="both"/>
              <w:rPr>
                <w:sz w:val="22"/>
                <w:szCs w:val="22"/>
              </w:rPr>
            </w:pPr>
            <w:r>
              <w:rPr>
                <w:rFonts w:ascii="Arial" w:eastAsia="Arial" w:hAnsi="Arial" w:cs="Arial"/>
                <w:sz w:val="22"/>
                <w:szCs w:val="22"/>
              </w:rPr>
              <w:t>To make use of analysis and evaluate performance data provided.</w:t>
            </w:r>
          </w:p>
          <w:p w:rsidR="003F1676" w:rsidRDefault="00DF6A50">
            <w:pPr>
              <w:numPr>
                <w:ilvl w:val="0"/>
                <w:numId w:val="1"/>
              </w:numPr>
              <w:jc w:val="both"/>
              <w:rPr>
                <w:sz w:val="22"/>
                <w:szCs w:val="22"/>
              </w:rPr>
            </w:pPr>
            <w:r>
              <w:rPr>
                <w:rFonts w:ascii="Arial" w:eastAsia="Arial" w:hAnsi="Arial" w:cs="Arial"/>
                <w:sz w:val="22"/>
                <w:szCs w:val="22"/>
              </w:rPr>
              <w:t>To identify and take appropriate action on issues arising from data, systems and reports; setting deadlines where necessary and reviewing progress on the action taken.</w:t>
            </w:r>
          </w:p>
          <w:p w:rsidR="003F1676" w:rsidRDefault="00DF6A50">
            <w:pPr>
              <w:numPr>
                <w:ilvl w:val="0"/>
                <w:numId w:val="1"/>
              </w:numPr>
              <w:jc w:val="both"/>
              <w:rPr>
                <w:rFonts w:ascii="Arial" w:eastAsia="Arial" w:hAnsi="Arial" w:cs="Arial"/>
                <w:sz w:val="22"/>
                <w:szCs w:val="22"/>
              </w:rPr>
            </w:pPr>
            <w:r>
              <w:rPr>
                <w:rFonts w:ascii="Arial" w:eastAsia="Arial" w:hAnsi="Arial" w:cs="Arial"/>
                <w:sz w:val="22"/>
                <w:szCs w:val="22"/>
              </w:rPr>
              <w:t>To deputise for the Head of Faculty where appropriate</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jc w:val="both"/>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Communications:</w:t>
            </w:r>
          </w:p>
        </w:tc>
        <w:tc>
          <w:tcPr>
            <w:tcW w:w="8417" w:type="dxa"/>
          </w:tcPr>
          <w:p w:rsidR="003F1676" w:rsidRDefault="00DF6A50">
            <w:pPr>
              <w:numPr>
                <w:ilvl w:val="0"/>
                <w:numId w:val="1"/>
              </w:numPr>
              <w:jc w:val="both"/>
              <w:rPr>
                <w:sz w:val="22"/>
                <w:szCs w:val="22"/>
              </w:rPr>
            </w:pPr>
            <w:r>
              <w:rPr>
                <w:rFonts w:ascii="Arial" w:eastAsia="Arial" w:hAnsi="Arial" w:cs="Arial"/>
                <w:sz w:val="22"/>
                <w:szCs w:val="22"/>
              </w:rPr>
              <w:t>To ensure that all members of the Faculty are familiar with its aims and objectives.</w:t>
            </w:r>
          </w:p>
          <w:p w:rsidR="003F1676" w:rsidRDefault="00DF6A50">
            <w:pPr>
              <w:numPr>
                <w:ilvl w:val="0"/>
                <w:numId w:val="1"/>
              </w:numPr>
              <w:jc w:val="both"/>
              <w:rPr>
                <w:sz w:val="22"/>
                <w:szCs w:val="22"/>
              </w:rPr>
            </w:pPr>
            <w:r>
              <w:rPr>
                <w:rFonts w:ascii="Arial" w:eastAsia="Arial" w:hAnsi="Arial" w:cs="Arial"/>
                <w:sz w:val="22"/>
                <w:szCs w:val="22"/>
              </w:rPr>
              <w:t>To ensure effective communication/consultation as appropriate with the parents of students.</w:t>
            </w:r>
          </w:p>
          <w:p w:rsidR="003F1676" w:rsidRDefault="00DF6A50">
            <w:pPr>
              <w:numPr>
                <w:ilvl w:val="0"/>
                <w:numId w:val="1"/>
              </w:numPr>
              <w:jc w:val="both"/>
              <w:rPr>
                <w:sz w:val="22"/>
                <w:szCs w:val="22"/>
              </w:rPr>
            </w:pPr>
            <w:r>
              <w:rPr>
                <w:rFonts w:ascii="Arial" w:eastAsia="Arial" w:hAnsi="Arial" w:cs="Arial"/>
                <w:sz w:val="22"/>
                <w:szCs w:val="22"/>
              </w:rPr>
              <w:t>To liaise with stakeholders.</w:t>
            </w:r>
          </w:p>
          <w:p w:rsidR="003F1676" w:rsidRDefault="00DF6A50">
            <w:pPr>
              <w:numPr>
                <w:ilvl w:val="0"/>
                <w:numId w:val="1"/>
              </w:numPr>
              <w:jc w:val="both"/>
              <w:rPr>
                <w:sz w:val="22"/>
                <w:szCs w:val="22"/>
              </w:rPr>
            </w:pPr>
            <w:r>
              <w:rPr>
                <w:rFonts w:ascii="Arial" w:eastAsia="Arial" w:hAnsi="Arial" w:cs="Arial"/>
                <w:sz w:val="22"/>
                <w:szCs w:val="22"/>
              </w:rPr>
              <w:t>To represent the Faculty’s views and interests.</w:t>
            </w:r>
          </w:p>
          <w:p w:rsidR="003F1676" w:rsidRDefault="00DF6A50">
            <w:pPr>
              <w:numPr>
                <w:ilvl w:val="0"/>
                <w:numId w:val="1"/>
              </w:numPr>
              <w:jc w:val="both"/>
              <w:rPr>
                <w:sz w:val="22"/>
                <w:szCs w:val="22"/>
              </w:rPr>
            </w:pPr>
            <w:r>
              <w:rPr>
                <w:rFonts w:ascii="Arial" w:eastAsia="Arial" w:hAnsi="Arial" w:cs="Arial"/>
                <w:sz w:val="22"/>
                <w:szCs w:val="22"/>
              </w:rPr>
              <w:t>En</w:t>
            </w:r>
            <w:r>
              <w:rPr>
                <w:rFonts w:ascii="Arial" w:eastAsia="Arial" w:hAnsi="Arial" w:cs="Arial"/>
                <w:sz w:val="22"/>
                <w:szCs w:val="22"/>
              </w:rPr>
              <w:t>sure that SLT and Governors are well informed about policies, plans, priorities and targets and that these are properly incorporated into the department and school improvement plan.</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jc w:val="both"/>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Marketing and Liaison:</w:t>
            </w:r>
          </w:p>
        </w:tc>
        <w:tc>
          <w:tcPr>
            <w:tcW w:w="8417" w:type="dxa"/>
          </w:tcPr>
          <w:p w:rsidR="003F1676" w:rsidRDefault="00DF6A50">
            <w:pPr>
              <w:numPr>
                <w:ilvl w:val="0"/>
                <w:numId w:val="1"/>
              </w:numPr>
              <w:jc w:val="both"/>
              <w:rPr>
                <w:sz w:val="22"/>
                <w:szCs w:val="22"/>
              </w:rPr>
            </w:pPr>
            <w:r>
              <w:rPr>
                <w:rFonts w:ascii="Arial" w:eastAsia="Arial" w:hAnsi="Arial" w:cs="Arial"/>
                <w:sz w:val="22"/>
                <w:szCs w:val="22"/>
              </w:rPr>
              <w:t>To contribute to the School liaison and marketing activities, e.g. the collection of material for press releases and Newsletter.</w:t>
            </w:r>
          </w:p>
          <w:p w:rsidR="003F1676" w:rsidRDefault="00DF6A50">
            <w:pPr>
              <w:numPr>
                <w:ilvl w:val="0"/>
                <w:numId w:val="1"/>
              </w:numPr>
              <w:jc w:val="both"/>
              <w:rPr>
                <w:sz w:val="22"/>
                <w:szCs w:val="22"/>
              </w:rPr>
            </w:pPr>
            <w:r>
              <w:rPr>
                <w:rFonts w:ascii="Arial" w:eastAsia="Arial" w:hAnsi="Arial" w:cs="Arial"/>
                <w:sz w:val="22"/>
                <w:szCs w:val="22"/>
              </w:rPr>
              <w:lastRenderedPageBreak/>
              <w:t xml:space="preserve">To contribute to the development of effective subject links with partner schools and the community, attending where </w:t>
            </w:r>
            <w:proofErr w:type="gramStart"/>
            <w:r>
              <w:rPr>
                <w:rFonts w:ascii="Arial" w:eastAsia="Arial" w:hAnsi="Arial" w:cs="Arial"/>
                <w:sz w:val="22"/>
                <w:szCs w:val="22"/>
              </w:rPr>
              <w:t xml:space="preserve">necessary  </w:t>
            </w:r>
            <w:r>
              <w:rPr>
                <w:rFonts w:ascii="Arial" w:eastAsia="Arial" w:hAnsi="Arial" w:cs="Arial"/>
                <w:sz w:val="22"/>
                <w:szCs w:val="22"/>
              </w:rPr>
              <w:t>events</w:t>
            </w:r>
            <w:proofErr w:type="gramEnd"/>
            <w:r>
              <w:rPr>
                <w:rFonts w:ascii="Arial" w:eastAsia="Arial" w:hAnsi="Arial" w:cs="Arial"/>
                <w:sz w:val="22"/>
                <w:szCs w:val="22"/>
              </w:rPr>
              <w:t xml:space="preserve"> in partner schools and effectively promoting  subjects at Open Days/Evenings and other events.</w:t>
            </w:r>
          </w:p>
          <w:p w:rsidR="003F1676" w:rsidRDefault="00DF6A50">
            <w:pPr>
              <w:numPr>
                <w:ilvl w:val="0"/>
                <w:numId w:val="1"/>
              </w:numPr>
              <w:ind w:left="357" w:hanging="357"/>
              <w:jc w:val="both"/>
              <w:rPr>
                <w:sz w:val="22"/>
                <w:szCs w:val="22"/>
              </w:rPr>
            </w:pPr>
            <w:r>
              <w:rPr>
                <w:rFonts w:ascii="Arial" w:eastAsia="Arial" w:hAnsi="Arial" w:cs="Arial"/>
                <w:sz w:val="22"/>
                <w:szCs w:val="22"/>
              </w:rPr>
              <w:t>To actively promote the development of effective subject links with external agencies.</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jc w:val="both"/>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Pastoral System:</w:t>
            </w:r>
          </w:p>
        </w:tc>
        <w:tc>
          <w:tcPr>
            <w:tcW w:w="8417" w:type="dxa"/>
          </w:tcPr>
          <w:p w:rsidR="003F1676" w:rsidRDefault="00DF6A50">
            <w:pPr>
              <w:numPr>
                <w:ilvl w:val="0"/>
                <w:numId w:val="1"/>
              </w:numPr>
              <w:jc w:val="both"/>
              <w:rPr>
                <w:sz w:val="22"/>
                <w:szCs w:val="22"/>
              </w:rPr>
            </w:pPr>
            <w:r>
              <w:rPr>
                <w:rFonts w:ascii="Arial" w:eastAsia="Arial" w:hAnsi="Arial" w:cs="Arial"/>
                <w:sz w:val="22"/>
                <w:szCs w:val="22"/>
              </w:rPr>
              <w:t xml:space="preserve">To monitor students' progress and performance </w:t>
            </w:r>
            <w:r>
              <w:rPr>
                <w:rFonts w:ascii="Arial" w:eastAsia="Arial" w:hAnsi="Arial" w:cs="Arial"/>
                <w:sz w:val="22"/>
                <w:szCs w:val="22"/>
              </w:rPr>
              <w:t>in relation to targets set ensuring that follow-up procedures are adhered to and that appropriate action is taken where necessary.</w:t>
            </w:r>
          </w:p>
          <w:p w:rsidR="003F1676" w:rsidRDefault="00DF6A50">
            <w:pPr>
              <w:numPr>
                <w:ilvl w:val="0"/>
                <w:numId w:val="1"/>
              </w:numPr>
              <w:jc w:val="both"/>
              <w:rPr>
                <w:sz w:val="22"/>
                <w:szCs w:val="22"/>
              </w:rPr>
            </w:pPr>
            <w:r>
              <w:rPr>
                <w:rFonts w:ascii="Arial" w:eastAsia="Arial" w:hAnsi="Arial" w:cs="Arial"/>
                <w:sz w:val="22"/>
                <w:szCs w:val="22"/>
              </w:rPr>
              <w:t>To act as a Form Tutor and to carry out the duties associated with that role.</w:t>
            </w:r>
          </w:p>
          <w:p w:rsidR="003F1676" w:rsidRDefault="00DF6A50">
            <w:pPr>
              <w:numPr>
                <w:ilvl w:val="0"/>
                <w:numId w:val="1"/>
              </w:numPr>
              <w:jc w:val="both"/>
              <w:rPr>
                <w:sz w:val="22"/>
                <w:szCs w:val="22"/>
              </w:rPr>
            </w:pPr>
            <w:r>
              <w:rPr>
                <w:rFonts w:ascii="Arial" w:eastAsia="Arial" w:hAnsi="Arial" w:cs="Arial"/>
                <w:sz w:val="22"/>
                <w:szCs w:val="22"/>
              </w:rPr>
              <w:t>To contribute to PSHEE, citizenship and enterpr</w:t>
            </w:r>
            <w:r>
              <w:rPr>
                <w:rFonts w:ascii="Arial" w:eastAsia="Arial" w:hAnsi="Arial" w:cs="Arial"/>
                <w:sz w:val="22"/>
                <w:szCs w:val="22"/>
              </w:rPr>
              <w:t>ise according to school policy.</w:t>
            </w:r>
          </w:p>
          <w:p w:rsidR="003F1676" w:rsidRDefault="00DF6A50">
            <w:pPr>
              <w:numPr>
                <w:ilvl w:val="0"/>
                <w:numId w:val="1"/>
              </w:numPr>
              <w:jc w:val="both"/>
              <w:rPr>
                <w:sz w:val="22"/>
                <w:szCs w:val="22"/>
              </w:rPr>
            </w:pPr>
            <w:r>
              <w:rPr>
                <w:rFonts w:ascii="Arial" w:eastAsia="Arial" w:hAnsi="Arial" w:cs="Arial"/>
                <w:sz w:val="22"/>
                <w:szCs w:val="22"/>
              </w:rPr>
              <w:t>To ensure the Behaviour Management system is implemented in the department so that effective learning can take place.</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Teaching:</w:t>
            </w:r>
          </w:p>
        </w:tc>
        <w:tc>
          <w:tcPr>
            <w:tcW w:w="8417" w:type="dxa"/>
          </w:tcPr>
          <w:p w:rsidR="003F1676" w:rsidRDefault="00DF6A50">
            <w:pPr>
              <w:numPr>
                <w:ilvl w:val="0"/>
                <w:numId w:val="1"/>
              </w:numPr>
              <w:jc w:val="both"/>
              <w:rPr>
                <w:sz w:val="22"/>
                <w:szCs w:val="22"/>
              </w:rPr>
            </w:pPr>
            <w:r>
              <w:rPr>
                <w:rFonts w:ascii="Arial" w:eastAsia="Arial" w:hAnsi="Arial" w:cs="Arial"/>
                <w:sz w:val="22"/>
                <w:szCs w:val="22"/>
              </w:rPr>
              <w:t>To undertake an appropriate programme of teaching in accordance with the duties of a standard scale teacher.</w:t>
            </w:r>
          </w:p>
        </w:tc>
      </w:tr>
      <w:tr w:rsidR="003F1676">
        <w:tc>
          <w:tcPr>
            <w:tcW w:w="2383" w:type="dxa"/>
          </w:tcPr>
          <w:p w:rsidR="003F1676" w:rsidRDefault="003F1676">
            <w:pPr>
              <w:rPr>
                <w:rFonts w:ascii="Arial" w:eastAsia="Arial" w:hAnsi="Arial" w:cs="Arial"/>
                <w:sz w:val="22"/>
                <w:szCs w:val="22"/>
              </w:rPr>
            </w:pPr>
          </w:p>
        </w:tc>
        <w:tc>
          <w:tcPr>
            <w:tcW w:w="8417" w:type="dxa"/>
          </w:tcPr>
          <w:p w:rsidR="003F1676" w:rsidRDefault="003F1676">
            <w:pPr>
              <w:jc w:val="both"/>
              <w:rPr>
                <w:rFonts w:ascii="Arial" w:eastAsia="Arial" w:hAnsi="Arial" w:cs="Arial"/>
                <w:sz w:val="22"/>
                <w:szCs w:val="22"/>
              </w:rPr>
            </w:pPr>
          </w:p>
        </w:tc>
      </w:tr>
      <w:tr w:rsidR="003F1676">
        <w:tc>
          <w:tcPr>
            <w:tcW w:w="2383" w:type="dxa"/>
          </w:tcPr>
          <w:p w:rsidR="003F1676" w:rsidRDefault="00DF6A50">
            <w:pPr>
              <w:rPr>
                <w:rFonts w:ascii="Arial" w:eastAsia="Arial" w:hAnsi="Arial" w:cs="Arial"/>
                <w:sz w:val="22"/>
                <w:szCs w:val="22"/>
              </w:rPr>
            </w:pPr>
            <w:r>
              <w:rPr>
                <w:rFonts w:ascii="Arial" w:eastAsia="Arial" w:hAnsi="Arial" w:cs="Arial"/>
                <w:b/>
                <w:sz w:val="22"/>
                <w:szCs w:val="22"/>
              </w:rPr>
              <w:t>Additional Duties:</w:t>
            </w:r>
          </w:p>
        </w:tc>
        <w:tc>
          <w:tcPr>
            <w:tcW w:w="8417" w:type="dxa"/>
          </w:tcPr>
          <w:p w:rsidR="003F1676" w:rsidRDefault="00DF6A50">
            <w:pPr>
              <w:numPr>
                <w:ilvl w:val="0"/>
                <w:numId w:val="1"/>
              </w:numPr>
              <w:jc w:val="both"/>
              <w:rPr>
                <w:sz w:val="22"/>
                <w:szCs w:val="22"/>
              </w:rPr>
            </w:pPr>
            <w:r>
              <w:rPr>
                <w:rFonts w:ascii="Arial" w:eastAsia="Arial" w:hAnsi="Arial" w:cs="Arial"/>
                <w:sz w:val="22"/>
                <w:szCs w:val="22"/>
              </w:rPr>
              <w:t>To play a full part in the life of the school community, to support its distinctive mission and ethos and to encourage and e</w:t>
            </w:r>
            <w:r>
              <w:rPr>
                <w:rFonts w:ascii="Arial" w:eastAsia="Arial" w:hAnsi="Arial" w:cs="Arial"/>
                <w:sz w:val="22"/>
                <w:szCs w:val="22"/>
              </w:rPr>
              <w:t>nsure staff and students to follow this example.</w:t>
            </w:r>
          </w:p>
        </w:tc>
      </w:tr>
      <w:tr w:rsidR="003F1676">
        <w:tc>
          <w:tcPr>
            <w:tcW w:w="10800" w:type="dxa"/>
            <w:gridSpan w:val="2"/>
          </w:tcPr>
          <w:p w:rsidR="003F1676" w:rsidRDefault="003F1676">
            <w:pPr>
              <w:jc w:val="both"/>
              <w:rPr>
                <w:rFonts w:ascii="Arial" w:eastAsia="Arial" w:hAnsi="Arial" w:cs="Arial"/>
                <w:sz w:val="22"/>
                <w:szCs w:val="22"/>
              </w:rPr>
            </w:pPr>
          </w:p>
        </w:tc>
      </w:tr>
      <w:tr w:rsidR="003F1676">
        <w:tc>
          <w:tcPr>
            <w:tcW w:w="10800" w:type="dxa"/>
            <w:gridSpan w:val="2"/>
          </w:tcPr>
          <w:p w:rsidR="003F1676" w:rsidRDefault="00DF6A50">
            <w:pPr>
              <w:jc w:val="both"/>
              <w:rPr>
                <w:rFonts w:ascii="Arial" w:eastAsia="Arial" w:hAnsi="Arial" w:cs="Arial"/>
                <w:sz w:val="22"/>
                <w:szCs w:val="22"/>
              </w:rPr>
            </w:pPr>
            <w:r>
              <w:rPr>
                <w:rFonts w:ascii="Arial" w:eastAsia="Arial" w:hAnsi="Arial" w:cs="Arial"/>
                <w:b/>
                <w:sz w:val="22"/>
                <w:szCs w:val="22"/>
              </w:rPr>
              <w:t>Other Specific Duties</w:t>
            </w:r>
            <w:r>
              <w:rPr>
                <w:rFonts w:ascii="Arial" w:eastAsia="Arial" w:hAnsi="Arial" w:cs="Arial"/>
                <w:sz w:val="22"/>
                <w:szCs w:val="22"/>
              </w:rPr>
              <w:t>:</w:t>
            </w:r>
          </w:p>
        </w:tc>
      </w:tr>
      <w:tr w:rsidR="003F1676">
        <w:tc>
          <w:tcPr>
            <w:tcW w:w="10800" w:type="dxa"/>
            <w:gridSpan w:val="2"/>
            <w:tcBorders>
              <w:top w:val="single" w:sz="6" w:space="0" w:color="000000"/>
              <w:left w:val="single" w:sz="6" w:space="0" w:color="000000"/>
              <w:right w:val="single" w:sz="6" w:space="0" w:color="000000"/>
            </w:tcBorders>
          </w:tcPr>
          <w:p w:rsidR="003F1676" w:rsidRDefault="00DF6A50">
            <w:pPr>
              <w:rPr>
                <w:rFonts w:ascii="Arial" w:eastAsia="Arial" w:hAnsi="Arial" w:cs="Arial"/>
                <w:sz w:val="22"/>
                <w:szCs w:val="22"/>
              </w:rPr>
            </w:pPr>
            <w:r>
              <w:rPr>
                <w:rFonts w:ascii="Arial" w:eastAsia="Arial" w:hAnsi="Arial" w:cs="Arial"/>
                <w:sz w:val="22"/>
                <w:szCs w:val="22"/>
              </w:rPr>
              <w:t>To continue personal development as agreed.</w:t>
            </w:r>
          </w:p>
          <w:p w:rsidR="003F1676" w:rsidRDefault="00DF6A50">
            <w:pPr>
              <w:rPr>
                <w:rFonts w:ascii="Arial" w:eastAsia="Arial" w:hAnsi="Arial" w:cs="Arial"/>
                <w:sz w:val="22"/>
                <w:szCs w:val="22"/>
              </w:rPr>
            </w:pPr>
            <w:r>
              <w:rPr>
                <w:rFonts w:ascii="Arial" w:eastAsia="Arial" w:hAnsi="Arial" w:cs="Arial"/>
                <w:sz w:val="22"/>
                <w:szCs w:val="22"/>
              </w:rPr>
              <w:t>To engage actively in the performance review process.</w:t>
            </w:r>
          </w:p>
          <w:p w:rsidR="003F1676" w:rsidRDefault="00DF6A50">
            <w:pPr>
              <w:rPr>
                <w:rFonts w:ascii="Arial" w:eastAsia="Arial" w:hAnsi="Arial" w:cs="Arial"/>
                <w:sz w:val="22"/>
                <w:szCs w:val="22"/>
              </w:rPr>
            </w:pPr>
            <w:r>
              <w:rPr>
                <w:rFonts w:ascii="Arial" w:eastAsia="Arial" w:hAnsi="Arial" w:cs="Arial"/>
                <w:sz w:val="22"/>
                <w:szCs w:val="22"/>
              </w:rPr>
              <w:t>To undertake any other reasonable duty as specified by Headteacher not mentioned in the above.</w:t>
            </w:r>
          </w:p>
          <w:p w:rsidR="003F1676" w:rsidRDefault="003F1676">
            <w:pPr>
              <w:rPr>
                <w:rFonts w:ascii="Arial" w:eastAsia="Arial" w:hAnsi="Arial" w:cs="Arial"/>
                <w:sz w:val="22"/>
                <w:szCs w:val="22"/>
              </w:rPr>
            </w:pPr>
          </w:p>
          <w:p w:rsidR="003F1676" w:rsidRDefault="00DF6A50">
            <w:pPr>
              <w:rPr>
                <w:rFonts w:ascii="Arial" w:eastAsia="Arial" w:hAnsi="Arial" w:cs="Arial"/>
                <w:sz w:val="22"/>
                <w:szCs w:val="22"/>
              </w:rPr>
            </w:pPr>
            <w:r>
              <w:rPr>
                <w:rFonts w:ascii="Arial" w:eastAsia="Arial" w:hAnsi="Arial" w:cs="Arial"/>
                <w:sz w:val="22"/>
                <w:szCs w:val="22"/>
              </w:rPr>
              <w:t>Whilst every effort has been made to explain the main duties and responsibilities of the post, each individual task undertaken may not be identified.</w:t>
            </w:r>
          </w:p>
        </w:tc>
      </w:tr>
      <w:tr w:rsidR="003F1676">
        <w:tc>
          <w:tcPr>
            <w:tcW w:w="10800" w:type="dxa"/>
            <w:gridSpan w:val="2"/>
            <w:tcBorders>
              <w:top w:val="single" w:sz="6" w:space="0" w:color="000000"/>
              <w:left w:val="single" w:sz="6" w:space="0" w:color="000000"/>
              <w:bottom w:val="single" w:sz="6" w:space="0" w:color="000000"/>
              <w:right w:val="single" w:sz="6" w:space="0" w:color="000000"/>
            </w:tcBorders>
          </w:tcPr>
          <w:p w:rsidR="003F1676" w:rsidRDefault="003F1676">
            <w:pPr>
              <w:rPr>
                <w:rFonts w:ascii="Arial" w:eastAsia="Arial" w:hAnsi="Arial" w:cs="Arial"/>
                <w:sz w:val="22"/>
                <w:szCs w:val="22"/>
              </w:rPr>
            </w:pPr>
          </w:p>
        </w:tc>
      </w:tr>
      <w:tr w:rsidR="003F1676">
        <w:tc>
          <w:tcPr>
            <w:tcW w:w="10800" w:type="dxa"/>
            <w:gridSpan w:val="2"/>
            <w:tcBorders>
              <w:left w:val="single" w:sz="6" w:space="0" w:color="000000"/>
              <w:bottom w:val="single" w:sz="6" w:space="0" w:color="000000"/>
              <w:right w:val="single" w:sz="6" w:space="0" w:color="000000"/>
            </w:tcBorders>
          </w:tcPr>
          <w:p w:rsidR="003F1676" w:rsidRDefault="00DF6A50">
            <w:pPr>
              <w:rPr>
                <w:rFonts w:ascii="Arial" w:eastAsia="Arial" w:hAnsi="Arial" w:cs="Arial"/>
                <w:sz w:val="22"/>
                <w:szCs w:val="22"/>
              </w:rPr>
            </w:pPr>
            <w:r>
              <w:rPr>
                <w:rFonts w:ascii="Arial" w:eastAsia="Arial" w:hAnsi="Arial" w:cs="Arial"/>
                <w:sz w:val="22"/>
                <w:szCs w:val="22"/>
              </w:rPr>
              <w:t>This job description is current at the date shown, but, in consultation with you, may be changed by the Headteacher to reflect or anticipate changes in the job commensurate with the grade and job title.</w:t>
            </w:r>
          </w:p>
        </w:tc>
      </w:tr>
    </w:tbl>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DF6A50">
      <w:pPr>
        <w:rPr>
          <w:rFonts w:ascii="Arial" w:eastAsia="Arial" w:hAnsi="Arial" w:cs="Arial"/>
          <w:sz w:val="22"/>
          <w:szCs w:val="22"/>
        </w:rPr>
      </w:pPr>
      <w:r>
        <w:rPr>
          <w:rFonts w:ascii="Arial" w:eastAsia="Arial" w:hAnsi="Arial" w:cs="Arial"/>
          <w:sz w:val="22"/>
          <w:szCs w:val="22"/>
        </w:rPr>
        <w:t>Date………………………………..          Signature………………………………</w:t>
      </w:r>
      <w:r>
        <w:rPr>
          <w:rFonts w:ascii="Arial" w:eastAsia="Arial" w:hAnsi="Arial" w:cs="Arial"/>
          <w:sz w:val="22"/>
          <w:szCs w:val="22"/>
        </w:rPr>
        <w:t>………….</w:t>
      </w: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p w:rsidR="003F1676" w:rsidRDefault="003F1676">
      <w:pPr>
        <w:rPr>
          <w:rFonts w:ascii="Arial" w:eastAsia="Arial" w:hAnsi="Arial" w:cs="Arial"/>
          <w:sz w:val="22"/>
          <w:szCs w:val="22"/>
        </w:rPr>
      </w:pPr>
    </w:p>
    <w:sectPr w:rsidR="003F1676">
      <w:footerReference w:type="default" r:id="rId8"/>
      <w:pgSz w:w="11906" w:h="16838"/>
      <w:pgMar w:top="567" w:right="1134" w:bottom="510"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F6A50">
      <w:r>
        <w:separator/>
      </w:r>
    </w:p>
  </w:endnote>
  <w:endnote w:type="continuationSeparator" w:id="0">
    <w:p w:rsidR="00000000" w:rsidRDefault="00DF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76" w:rsidRDefault="003F1676">
    <w:pPr>
      <w:tabs>
        <w:tab w:val="center" w:pos="4320"/>
        <w:tab w:val="right" w:pos="8640"/>
      </w:tabs>
      <w:rPr>
        <w:rFonts w:ascii="Arial" w:eastAsia="Arial" w:hAnsi="Arial" w:cs="Arial"/>
        <w:sz w:val="22"/>
        <w:szCs w:val="22"/>
      </w:rPr>
    </w:pPr>
  </w:p>
  <w:p w:rsidR="003F1676" w:rsidRDefault="003F1676">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F6A50">
      <w:r>
        <w:separator/>
      </w:r>
    </w:p>
  </w:footnote>
  <w:footnote w:type="continuationSeparator" w:id="0">
    <w:p w:rsidR="00000000" w:rsidRDefault="00DF6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49F3"/>
    <w:multiLevelType w:val="multilevel"/>
    <w:tmpl w:val="514A1D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B0C77EE"/>
    <w:multiLevelType w:val="multilevel"/>
    <w:tmpl w:val="68B43622"/>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51B559BA"/>
    <w:multiLevelType w:val="multilevel"/>
    <w:tmpl w:val="00D2C72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6AE11B13"/>
    <w:multiLevelType w:val="multilevel"/>
    <w:tmpl w:val="D6BC73B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1676"/>
    <w:rsid w:val="003F1676"/>
    <w:rsid w:val="00DF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EC182-DBC9-4A41-8715-C1DDF68D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Harwich and Dovercourt High School</Company>
  <LinksUpToDate>false</LinksUpToDate>
  <CharactersWithSpaces>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Pennie Grew</dc:creator>
  <cp:lastModifiedBy>Pennie Grew</cp:lastModifiedBy>
  <cp:revision>2</cp:revision>
  <dcterms:created xsi:type="dcterms:W3CDTF">2018-02-21T15:43:00Z</dcterms:created>
  <dcterms:modified xsi:type="dcterms:W3CDTF">2018-02-21T15:43:00Z</dcterms:modified>
</cp:coreProperties>
</file>