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307" w:rsidRPr="003E1307" w:rsidRDefault="003E1307" w:rsidP="003E1307">
      <w:pPr>
        <w:pStyle w:val="Standard"/>
        <w:widowControl/>
        <w:overflowPunct w:val="0"/>
        <w:spacing w:before="40" w:after="40"/>
        <w:ind w:right="284"/>
        <w:jc w:val="both"/>
        <w:rPr>
          <w:b/>
          <w:color w:val="0070C0"/>
          <w:szCs w:val="28"/>
        </w:rPr>
      </w:pPr>
      <w:r w:rsidRPr="003E1307">
        <w:rPr>
          <w:b/>
          <w:color w:val="0070C0"/>
          <w:szCs w:val="28"/>
        </w:rPr>
        <w:t>Person specification</w:t>
      </w:r>
    </w:p>
    <w:p w:rsidR="003E1307" w:rsidRPr="003E1307" w:rsidRDefault="003E1307" w:rsidP="003E1307">
      <w:pPr>
        <w:pStyle w:val="Heading"/>
        <w:rPr>
          <w:rFonts w:ascii="Arial" w:hAnsi="Arial" w:cs="Arial"/>
          <w:color w:val="0070C0"/>
          <w:sz w:val="24"/>
          <w:szCs w:val="28"/>
        </w:rPr>
      </w:pPr>
      <w:r w:rsidRPr="003E1307">
        <w:rPr>
          <w:rFonts w:ascii="Arial" w:hAnsi="Arial" w:cs="Arial"/>
          <w:color w:val="0070C0"/>
          <w:sz w:val="24"/>
          <w:szCs w:val="28"/>
        </w:rPr>
        <w:t>Abacus Belsize Key Stage 2 Class Teacher: Person specification</w:t>
      </w:r>
    </w:p>
    <w:p w:rsidR="003E1307" w:rsidRPr="003E1307" w:rsidRDefault="003E1307" w:rsidP="003E1307">
      <w:pPr>
        <w:spacing w:line="280" w:lineRule="exact"/>
        <w:rPr>
          <w:rFonts w:ascii="Arial" w:hAnsi="Arial" w:cs="Arial"/>
          <w:sz w:val="20"/>
          <w:szCs w:val="22"/>
        </w:rPr>
      </w:pPr>
      <w:r w:rsidRPr="003E1307">
        <w:rPr>
          <w:rFonts w:ascii="Arial" w:hAnsi="Arial" w:cs="Arial"/>
          <w:sz w:val="20"/>
          <w:szCs w:val="22"/>
        </w:rPr>
        <w:t>This section outlines the skills and experience against which candidates for this position will be assessed. The selection panel will expect candidates to show knowledge and understanding of each area, and to show how they have applied (or are aware of how to apply) this knowledge and understanding in contexts relevant to Abacus Belsize. You should provide clear and objective evidence of how you meet these requirements when completing your application. Short-listed candidates will be involved in a variety of activities directly related to the Person Specification that will form part of the evidence base.</w:t>
      </w:r>
    </w:p>
    <w:p w:rsidR="003E1307" w:rsidRPr="003E1307" w:rsidRDefault="003E1307" w:rsidP="003E1307">
      <w:pPr>
        <w:spacing w:line="280" w:lineRule="exact"/>
        <w:rPr>
          <w:rFonts w:ascii="Arial" w:hAnsi="Arial" w:cs="Arial"/>
          <w:sz w:val="20"/>
          <w:szCs w:val="22"/>
        </w:rPr>
      </w:pPr>
    </w:p>
    <w:p w:rsidR="003E1307" w:rsidRPr="003E1307" w:rsidRDefault="003E1307" w:rsidP="003E1307">
      <w:pPr>
        <w:rPr>
          <w:rFonts w:ascii="Arial" w:hAnsi="Arial" w:cs="Arial"/>
          <w:sz w:val="20"/>
          <w:szCs w:val="22"/>
        </w:rPr>
      </w:pPr>
      <w:r w:rsidRPr="003E1307">
        <w:rPr>
          <w:rFonts w:ascii="Arial" w:hAnsi="Arial" w:cs="Arial"/>
          <w:sz w:val="20"/>
          <w:szCs w:val="22"/>
        </w:rPr>
        <w:t>The panel will assess the following:</w:t>
      </w:r>
    </w:p>
    <w:p w:rsidR="003E1307" w:rsidRPr="003E1307" w:rsidRDefault="003E1307" w:rsidP="003E1307">
      <w:pPr>
        <w:rPr>
          <w:rFonts w:ascii="Arial" w:hAnsi="Arial" w:cs="Arial"/>
          <w:sz w:val="20"/>
          <w:szCs w:val="22"/>
        </w:rPr>
      </w:pPr>
    </w:p>
    <w:p w:rsidR="003E1307" w:rsidRPr="003E1307" w:rsidRDefault="003E1307" w:rsidP="003E1307">
      <w:pPr>
        <w:numPr>
          <w:ilvl w:val="0"/>
          <w:numId w:val="2"/>
        </w:numPr>
        <w:tabs>
          <w:tab w:val="left" w:pos="720"/>
        </w:tabs>
        <w:suppressAutoHyphens/>
        <w:overflowPunct w:val="0"/>
        <w:spacing w:line="100" w:lineRule="atLeast"/>
        <w:ind w:left="720"/>
        <w:textAlignment w:val="baseline"/>
        <w:rPr>
          <w:rFonts w:ascii="Arial" w:hAnsi="Arial" w:cs="Arial"/>
          <w:sz w:val="20"/>
          <w:szCs w:val="22"/>
        </w:rPr>
      </w:pPr>
      <w:r w:rsidRPr="003E1307">
        <w:rPr>
          <w:rFonts w:ascii="Arial" w:hAnsi="Arial" w:cs="Arial"/>
          <w:sz w:val="20"/>
          <w:szCs w:val="22"/>
        </w:rPr>
        <w:t>Application form (A)</w:t>
      </w:r>
    </w:p>
    <w:p w:rsidR="003E1307" w:rsidRPr="003E1307" w:rsidRDefault="003E1307" w:rsidP="003E1307">
      <w:pPr>
        <w:numPr>
          <w:ilvl w:val="0"/>
          <w:numId w:val="1"/>
        </w:numPr>
        <w:tabs>
          <w:tab w:val="left" w:pos="720"/>
        </w:tabs>
        <w:suppressAutoHyphens/>
        <w:overflowPunct w:val="0"/>
        <w:spacing w:line="100" w:lineRule="atLeast"/>
        <w:ind w:left="720"/>
        <w:textAlignment w:val="baseline"/>
        <w:rPr>
          <w:rFonts w:ascii="Arial" w:hAnsi="Arial" w:cs="Arial"/>
          <w:sz w:val="20"/>
          <w:szCs w:val="22"/>
        </w:rPr>
      </w:pPr>
      <w:r w:rsidRPr="003E1307">
        <w:rPr>
          <w:rFonts w:ascii="Arial" w:hAnsi="Arial" w:cs="Arial"/>
          <w:sz w:val="20"/>
          <w:szCs w:val="22"/>
        </w:rPr>
        <w:t>Interview meeting and interview day activities (I)</w:t>
      </w:r>
    </w:p>
    <w:p w:rsidR="003E1307" w:rsidRPr="003E1307" w:rsidRDefault="003E1307" w:rsidP="003E1307">
      <w:pPr>
        <w:numPr>
          <w:ilvl w:val="0"/>
          <w:numId w:val="1"/>
        </w:numPr>
        <w:tabs>
          <w:tab w:val="left" w:pos="720"/>
        </w:tabs>
        <w:suppressAutoHyphens/>
        <w:overflowPunct w:val="0"/>
        <w:spacing w:line="100" w:lineRule="atLeast"/>
        <w:ind w:left="720"/>
        <w:textAlignment w:val="baseline"/>
        <w:rPr>
          <w:rFonts w:ascii="Arial" w:hAnsi="Arial" w:cs="Arial"/>
          <w:sz w:val="20"/>
          <w:szCs w:val="22"/>
        </w:rPr>
      </w:pPr>
      <w:r w:rsidRPr="003E1307">
        <w:rPr>
          <w:rFonts w:ascii="Arial" w:hAnsi="Arial" w:cs="Arial"/>
          <w:sz w:val="20"/>
          <w:szCs w:val="22"/>
        </w:rPr>
        <w:t>Lesson observation exercise (L)</w:t>
      </w:r>
    </w:p>
    <w:p w:rsidR="003E1307" w:rsidRPr="003E1307" w:rsidRDefault="003E1307" w:rsidP="003E1307">
      <w:pPr>
        <w:numPr>
          <w:ilvl w:val="0"/>
          <w:numId w:val="1"/>
        </w:numPr>
        <w:tabs>
          <w:tab w:val="left" w:pos="720"/>
        </w:tabs>
        <w:suppressAutoHyphens/>
        <w:overflowPunct w:val="0"/>
        <w:spacing w:line="100" w:lineRule="atLeast"/>
        <w:ind w:left="720"/>
        <w:textAlignment w:val="baseline"/>
        <w:rPr>
          <w:rFonts w:ascii="Arial" w:hAnsi="Arial" w:cs="Arial"/>
          <w:sz w:val="20"/>
          <w:szCs w:val="22"/>
        </w:rPr>
      </w:pPr>
      <w:r w:rsidRPr="003E1307">
        <w:rPr>
          <w:rFonts w:ascii="Arial" w:hAnsi="Arial" w:cs="Arial"/>
          <w:sz w:val="20"/>
          <w:szCs w:val="22"/>
        </w:rPr>
        <w:t>References and other pre-employment checks (R)</w:t>
      </w:r>
    </w:p>
    <w:p w:rsidR="003E1307" w:rsidRPr="003E1307" w:rsidRDefault="003E1307" w:rsidP="003E1307">
      <w:pPr>
        <w:overflowPunct w:val="0"/>
        <w:ind w:left="720"/>
        <w:rPr>
          <w:rFonts w:ascii="Arial" w:hAnsi="Arial" w:cs="Arial"/>
          <w:sz w:val="20"/>
          <w:szCs w:val="22"/>
        </w:rPr>
      </w:pPr>
    </w:p>
    <w:p w:rsidR="003E1307" w:rsidRPr="003E1307" w:rsidRDefault="003E1307" w:rsidP="003E1307">
      <w:pPr>
        <w:rPr>
          <w:rFonts w:ascii="Arial" w:hAnsi="Arial" w:cs="Arial"/>
          <w:sz w:val="20"/>
          <w:szCs w:val="22"/>
        </w:rPr>
      </w:pPr>
      <w:r w:rsidRPr="003E1307">
        <w:rPr>
          <w:rFonts w:ascii="Arial" w:hAnsi="Arial" w:cs="Arial"/>
          <w:sz w:val="20"/>
          <w:szCs w:val="22"/>
        </w:rPr>
        <w:t xml:space="preserve">We may take up references for short-listed candidates </w:t>
      </w:r>
      <w:r w:rsidRPr="003E1307">
        <w:rPr>
          <w:rFonts w:ascii="Arial" w:hAnsi="Arial" w:cs="Arial"/>
          <w:i/>
          <w:iCs/>
          <w:sz w:val="20"/>
          <w:szCs w:val="22"/>
        </w:rPr>
        <w:t>before</w:t>
      </w:r>
      <w:r w:rsidRPr="003E1307">
        <w:rPr>
          <w:rFonts w:ascii="Arial" w:hAnsi="Arial" w:cs="Arial"/>
          <w:sz w:val="20"/>
          <w:szCs w:val="22"/>
        </w:rPr>
        <w:t xml:space="preserve"> inviting to interview.  Please therefore provide names and contact details of two professional referees with your application.</w:t>
      </w:r>
    </w:p>
    <w:p w:rsidR="003E1307" w:rsidRDefault="003E1307" w:rsidP="003E1307">
      <w:pPr>
        <w:rPr>
          <w:rFonts w:cs="Arial"/>
          <w:sz w:val="22"/>
          <w:szCs w:val="22"/>
        </w:rPr>
      </w:pPr>
    </w:p>
    <w:tbl>
      <w:tblPr>
        <w:tblW w:w="9435" w:type="dxa"/>
        <w:tblInd w:w="98" w:type="dxa"/>
        <w:tblLayout w:type="fixed"/>
        <w:tblCellMar>
          <w:left w:w="10" w:type="dxa"/>
          <w:right w:w="10" w:type="dxa"/>
        </w:tblCellMar>
        <w:tblLook w:val="00A0" w:firstRow="1" w:lastRow="0" w:firstColumn="1" w:lastColumn="0" w:noHBand="0" w:noVBand="0"/>
      </w:tblPr>
      <w:tblGrid>
        <w:gridCol w:w="675"/>
        <w:gridCol w:w="4111"/>
        <w:gridCol w:w="3028"/>
        <w:gridCol w:w="1621"/>
      </w:tblGrid>
      <w:tr w:rsidR="003E1307" w:rsidRPr="006845D0" w:rsidTr="00D82393">
        <w:trPr>
          <w:trHeight w:val="1134"/>
          <w:tblHeader/>
        </w:trPr>
        <w:tc>
          <w:tcPr>
            <w:tcW w:w="675" w:type="dxa"/>
            <w:tcBorders>
              <w:top w:val="single" w:sz="8" w:space="0" w:color="FFFFFF"/>
              <w:left w:val="single" w:sz="8" w:space="0" w:color="FFFFFF"/>
              <w:bottom w:val="single" w:sz="24" w:space="0" w:color="FFFFFF"/>
              <w:right w:val="single" w:sz="8" w:space="0" w:color="FFFFFF"/>
            </w:tcBorders>
            <w:shd w:val="clear" w:color="auto" w:fill="002060"/>
            <w:tcMar>
              <w:top w:w="0" w:type="dxa"/>
              <w:left w:w="108" w:type="dxa"/>
              <w:bottom w:w="0" w:type="dxa"/>
              <w:right w:w="108" w:type="dxa"/>
            </w:tcMar>
          </w:tcPr>
          <w:p w:rsidR="003E1307" w:rsidRPr="006845D0" w:rsidRDefault="003E1307" w:rsidP="00D82393">
            <w:pPr>
              <w:pStyle w:val="Standard"/>
              <w:rPr>
                <w:rFonts w:cs="Times New Roman"/>
                <w:color w:val="FFFFFF"/>
                <w:sz w:val="22"/>
                <w:szCs w:val="22"/>
                <w:lang w:val="en-US"/>
              </w:rPr>
            </w:pPr>
          </w:p>
        </w:tc>
        <w:tc>
          <w:tcPr>
            <w:tcW w:w="4111" w:type="dxa"/>
            <w:tcBorders>
              <w:top w:val="single" w:sz="8" w:space="0" w:color="FFFFFF"/>
              <w:left w:val="single" w:sz="8" w:space="0" w:color="FFFFFF"/>
              <w:bottom w:val="single" w:sz="24" w:space="0" w:color="FFFFFF"/>
              <w:right w:val="single" w:sz="8" w:space="0" w:color="FFFFFF"/>
            </w:tcBorders>
            <w:shd w:val="clear" w:color="auto" w:fill="002060"/>
            <w:tcMar>
              <w:top w:w="0" w:type="dxa"/>
              <w:left w:w="108" w:type="dxa"/>
              <w:bottom w:w="0" w:type="dxa"/>
              <w:right w:w="108" w:type="dxa"/>
            </w:tcMar>
          </w:tcPr>
          <w:p w:rsidR="003E1307" w:rsidRPr="006845D0" w:rsidRDefault="003E1307" w:rsidP="00D82393">
            <w:pPr>
              <w:pStyle w:val="Standard"/>
              <w:spacing w:before="240"/>
              <w:jc w:val="center"/>
              <w:rPr>
                <w:rFonts w:cs="Times New Roman"/>
                <w:sz w:val="22"/>
                <w:szCs w:val="22"/>
              </w:rPr>
            </w:pPr>
            <w:r w:rsidRPr="006845D0">
              <w:rPr>
                <w:color w:val="FFFFFF"/>
                <w:sz w:val="22"/>
                <w:szCs w:val="22"/>
                <w:lang w:val="en-US"/>
              </w:rPr>
              <w:t>Essential</w:t>
            </w:r>
          </w:p>
        </w:tc>
        <w:tc>
          <w:tcPr>
            <w:tcW w:w="3028" w:type="dxa"/>
            <w:tcBorders>
              <w:top w:val="single" w:sz="8" w:space="0" w:color="FFFFFF"/>
              <w:left w:val="single" w:sz="8" w:space="0" w:color="FFFFFF"/>
              <w:bottom w:val="single" w:sz="24" w:space="0" w:color="FFFFFF"/>
              <w:right w:val="single" w:sz="8" w:space="0" w:color="FFFFFF"/>
            </w:tcBorders>
            <w:shd w:val="clear" w:color="auto" w:fill="002060"/>
            <w:tcMar>
              <w:top w:w="0" w:type="dxa"/>
              <w:left w:w="108" w:type="dxa"/>
              <w:bottom w:w="0" w:type="dxa"/>
              <w:right w:w="108" w:type="dxa"/>
            </w:tcMar>
          </w:tcPr>
          <w:p w:rsidR="003E1307" w:rsidRPr="006845D0" w:rsidRDefault="003E1307" w:rsidP="00D82393">
            <w:pPr>
              <w:pStyle w:val="Standard"/>
              <w:spacing w:before="240"/>
              <w:jc w:val="center"/>
              <w:rPr>
                <w:rFonts w:cs="Times New Roman"/>
                <w:sz w:val="22"/>
                <w:szCs w:val="22"/>
              </w:rPr>
            </w:pPr>
            <w:r w:rsidRPr="006845D0">
              <w:rPr>
                <w:color w:val="FFFFFF"/>
                <w:sz w:val="22"/>
                <w:szCs w:val="22"/>
                <w:lang w:val="en-US"/>
              </w:rPr>
              <w:t>Desirable</w:t>
            </w:r>
          </w:p>
        </w:tc>
        <w:tc>
          <w:tcPr>
            <w:tcW w:w="1621" w:type="dxa"/>
            <w:tcBorders>
              <w:top w:val="single" w:sz="8" w:space="0" w:color="FFFFFF"/>
              <w:left w:val="single" w:sz="8" w:space="0" w:color="FFFFFF"/>
              <w:bottom w:val="single" w:sz="24" w:space="0" w:color="FFFFFF"/>
              <w:right w:val="single" w:sz="8" w:space="0" w:color="FFFFFF"/>
            </w:tcBorders>
            <w:shd w:val="clear" w:color="auto" w:fill="002060"/>
            <w:tcMar>
              <w:top w:w="0" w:type="dxa"/>
              <w:left w:w="108" w:type="dxa"/>
              <w:bottom w:w="0" w:type="dxa"/>
              <w:right w:w="108" w:type="dxa"/>
            </w:tcMar>
          </w:tcPr>
          <w:p w:rsidR="003E1307" w:rsidRPr="006845D0" w:rsidRDefault="003E1307" w:rsidP="00D82393">
            <w:pPr>
              <w:pStyle w:val="Standard"/>
              <w:spacing w:before="240"/>
              <w:jc w:val="center"/>
              <w:rPr>
                <w:rFonts w:cs="Times New Roman"/>
                <w:sz w:val="22"/>
                <w:szCs w:val="22"/>
              </w:rPr>
            </w:pPr>
            <w:r w:rsidRPr="006845D0">
              <w:rPr>
                <w:color w:val="FFFFFF"/>
                <w:sz w:val="22"/>
                <w:szCs w:val="22"/>
                <w:lang w:val="en-US"/>
              </w:rPr>
              <w:t>Measured</w:t>
            </w:r>
          </w:p>
        </w:tc>
      </w:tr>
      <w:tr w:rsidR="003E1307" w:rsidRPr="006845D0" w:rsidTr="00D82393">
        <w:trPr>
          <w:cantSplit/>
          <w:trHeight w:val="2041"/>
        </w:trPr>
        <w:tc>
          <w:tcPr>
            <w:tcW w:w="675" w:type="dxa"/>
            <w:tcBorders>
              <w:top w:val="single" w:sz="8" w:space="0" w:color="FFFFFF"/>
              <w:left w:val="single" w:sz="8" w:space="0" w:color="FFFFFF"/>
              <w:right w:val="single" w:sz="24" w:space="0" w:color="FFFFFF"/>
            </w:tcBorders>
            <w:shd w:val="clear" w:color="auto" w:fill="002060"/>
            <w:tcMar>
              <w:top w:w="0" w:type="dxa"/>
              <w:left w:w="108" w:type="dxa"/>
              <w:bottom w:w="0" w:type="dxa"/>
              <w:right w:w="108" w:type="dxa"/>
            </w:tcMar>
            <w:textDirection w:val="btLr"/>
            <w:vAlign w:val="bottom"/>
          </w:tcPr>
          <w:p w:rsidR="003E1307" w:rsidRPr="003E1307" w:rsidRDefault="003E1307" w:rsidP="00D82393">
            <w:pPr>
              <w:pStyle w:val="Standard"/>
              <w:ind w:left="113" w:right="113"/>
              <w:jc w:val="right"/>
              <w:rPr>
                <w:color w:val="FFFFFF"/>
                <w:sz w:val="18"/>
                <w:szCs w:val="22"/>
              </w:rPr>
            </w:pPr>
            <w:r w:rsidRPr="003E1307">
              <w:rPr>
                <w:color w:val="FFFFFF"/>
                <w:sz w:val="18"/>
                <w:szCs w:val="22"/>
              </w:rPr>
              <w:t>Commitment to AB school vision</w:t>
            </w:r>
          </w:p>
        </w:tc>
        <w:tc>
          <w:tcPr>
            <w:tcW w:w="4111" w:type="dxa"/>
            <w:tcBorders>
              <w:top w:val="single" w:sz="24"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spacing w:before="120" w:after="60"/>
              <w:ind w:right="85"/>
              <w:rPr>
                <w:rFonts w:ascii="Arial" w:hAnsi="Arial" w:cs="Arial"/>
                <w:sz w:val="18"/>
                <w:lang w:val="en-US"/>
              </w:rPr>
            </w:pPr>
            <w:r w:rsidRPr="003E1307">
              <w:rPr>
                <w:rFonts w:ascii="Arial" w:hAnsi="Arial" w:cs="Arial"/>
                <w:sz w:val="18"/>
                <w:szCs w:val="22"/>
              </w:rPr>
              <w:t>Shares the founding vision and ethos for this secular free school: (please see the school’s website and this application pack for more information on school vision)</w:t>
            </w:r>
          </w:p>
          <w:p w:rsidR="003E1307" w:rsidRPr="003E1307" w:rsidRDefault="003E1307" w:rsidP="00D82393">
            <w:pPr>
              <w:overflowPunct w:val="0"/>
              <w:rPr>
                <w:rFonts w:ascii="Arial" w:hAnsi="Arial" w:cs="Arial"/>
                <w:sz w:val="18"/>
              </w:rPr>
            </w:pPr>
            <w:r w:rsidRPr="003E1307">
              <w:rPr>
                <w:rFonts w:ascii="Arial" w:hAnsi="Arial" w:cs="Arial"/>
                <w:sz w:val="18"/>
                <w:szCs w:val="22"/>
              </w:rPr>
              <w:t>Excited by the chance to contribute to the establishment of a new school, and driven to do what it takes to succeed</w:t>
            </w:r>
          </w:p>
          <w:p w:rsidR="003E1307" w:rsidRPr="003E1307" w:rsidRDefault="003E1307" w:rsidP="00D82393">
            <w:pPr>
              <w:ind w:left="30" w:hanging="30"/>
              <w:rPr>
                <w:rFonts w:ascii="Arial" w:hAnsi="Arial" w:cs="Arial"/>
                <w:sz w:val="18"/>
                <w:lang w:val="en-US"/>
              </w:rPr>
            </w:pPr>
          </w:p>
        </w:tc>
        <w:tc>
          <w:tcPr>
            <w:tcW w:w="3028" w:type="dxa"/>
            <w:tcBorders>
              <w:top w:val="single" w:sz="24"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pStyle w:val="ListParagraph"/>
              <w:suppressAutoHyphens/>
              <w:overflowPunct w:val="0"/>
              <w:spacing w:before="120" w:after="60" w:line="100" w:lineRule="atLeast"/>
              <w:ind w:left="28" w:right="83" w:hanging="394"/>
              <w:rPr>
                <w:rFonts w:ascii="Arial" w:hAnsi="Arial" w:cs="Arial"/>
                <w:sz w:val="18"/>
                <w:lang w:val="en-US"/>
              </w:rPr>
            </w:pPr>
          </w:p>
        </w:tc>
        <w:tc>
          <w:tcPr>
            <w:tcW w:w="1621" w:type="dxa"/>
            <w:tcBorders>
              <w:top w:val="single" w:sz="24"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pStyle w:val="ListParagraph"/>
              <w:suppressAutoHyphens/>
              <w:overflowPunct w:val="0"/>
              <w:spacing w:before="120" w:after="60" w:line="100" w:lineRule="atLeast"/>
              <w:ind w:left="0" w:right="83" w:firstLine="26"/>
              <w:rPr>
                <w:rFonts w:ascii="Arial" w:hAnsi="Arial" w:cs="Arial"/>
                <w:sz w:val="18"/>
                <w:lang w:val="en-US"/>
              </w:rPr>
            </w:pPr>
            <w:r w:rsidRPr="003E1307">
              <w:rPr>
                <w:rFonts w:ascii="Arial" w:hAnsi="Arial" w:cs="Arial"/>
                <w:sz w:val="18"/>
                <w:szCs w:val="22"/>
                <w:lang w:val="en-US"/>
              </w:rPr>
              <w:t>A/I</w:t>
            </w:r>
          </w:p>
        </w:tc>
      </w:tr>
      <w:tr w:rsidR="003E1307" w:rsidRPr="006845D0" w:rsidTr="00D82393">
        <w:trPr>
          <w:cantSplit/>
          <w:trHeight w:val="2070"/>
        </w:trPr>
        <w:tc>
          <w:tcPr>
            <w:tcW w:w="675" w:type="dxa"/>
            <w:tcBorders>
              <w:top w:val="single" w:sz="8" w:space="0" w:color="FFFFFF"/>
              <w:left w:val="single" w:sz="8" w:space="0" w:color="FFFFFF"/>
              <w:right w:val="single" w:sz="24" w:space="0" w:color="FFFFFF"/>
            </w:tcBorders>
            <w:shd w:val="clear" w:color="auto" w:fill="002060"/>
            <w:tcMar>
              <w:top w:w="0" w:type="dxa"/>
              <w:left w:w="108" w:type="dxa"/>
              <w:bottom w:w="0" w:type="dxa"/>
              <w:right w:w="108" w:type="dxa"/>
            </w:tcMar>
            <w:textDirection w:val="btLr"/>
            <w:vAlign w:val="bottom"/>
          </w:tcPr>
          <w:p w:rsidR="003E1307" w:rsidRPr="003E1307" w:rsidRDefault="003E1307" w:rsidP="00D82393">
            <w:pPr>
              <w:pStyle w:val="Standard"/>
              <w:ind w:left="113" w:right="113"/>
              <w:jc w:val="right"/>
              <w:rPr>
                <w:sz w:val="18"/>
                <w:szCs w:val="22"/>
              </w:rPr>
            </w:pPr>
            <w:r w:rsidRPr="003E1307">
              <w:rPr>
                <w:color w:val="FFFFFF"/>
                <w:sz w:val="18"/>
                <w:szCs w:val="22"/>
              </w:rPr>
              <w:t>Knowledge and Experience</w:t>
            </w:r>
          </w:p>
        </w:tc>
        <w:tc>
          <w:tcPr>
            <w:tcW w:w="4111" w:type="dxa"/>
            <w:tcBorders>
              <w:top w:val="single" w:sz="24"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pStyle w:val="ListParagraph"/>
              <w:suppressAutoHyphens/>
              <w:overflowPunct w:val="0"/>
              <w:spacing w:before="120" w:after="60" w:line="100" w:lineRule="atLeast"/>
              <w:ind w:left="0" w:right="85"/>
              <w:rPr>
                <w:rFonts w:ascii="Arial" w:hAnsi="Arial" w:cs="Arial"/>
                <w:sz w:val="18"/>
                <w:lang w:val="en-US"/>
              </w:rPr>
            </w:pPr>
            <w:r w:rsidRPr="003E1307">
              <w:rPr>
                <w:rFonts w:ascii="Arial" w:hAnsi="Arial" w:cs="Arial"/>
                <w:sz w:val="18"/>
                <w:szCs w:val="22"/>
                <w:lang w:val="en-US"/>
              </w:rPr>
              <w:t xml:space="preserve">Recent experience of teaching KS 2 pupils </w:t>
            </w:r>
          </w:p>
          <w:p w:rsidR="003E1307" w:rsidRPr="003E1307" w:rsidRDefault="003E1307" w:rsidP="00D82393">
            <w:pPr>
              <w:pStyle w:val="ListParagraph"/>
              <w:suppressAutoHyphens/>
              <w:overflowPunct w:val="0"/>
              <w:spacing w:before="120" w:after="60" w:line="100" w:lineRule="atLeast"/>
              <w:ind w:left="0" w:right="85"/>
              <w:rPr>
                <w:rFonts w:ascii="Arial" w:hAnsi="Arial" w:cs="Arial"/>
                <w:sz w:val="18"/>
                <w:szCs w:val="22"/>
                <w:lang w:val="en-US"/>
              </w:rPr>
            </w:pPr>
            <w:r w:rsidRPr="003E1307">
              <w:rPr>
                <w:rFonts w:ascii="Arial" w:eastAsia="Times New Roman" w:hAnsi="Arial" w:cs="Arial"/>
                <w:color w:val="000000"/>
                <w:sz w:val="18"/>
                <w:szCs w:val="22"/>
              </w:rPr>
              <w:t>Knowledge of New National curriculum Framework</w:t>
            </w:r>
            <w:r w:rsidRPr="003E1307">
              <w:rPr>
                <w:rFonts w:ascii="Arial" w:hAnsi="Arial" w:cs="Arial"/>
                <w:sz w:val="18"/>
                <w:szCs w:val="22"/>
                <w:lang w:val="en-US"/>
              </w:rPr>
              <w:t xml:space="preserve"> </w:t>
            </w:r>
          </w:p>
          <w:p w:rsidR="003E1307" w:rsidRPr="003E1307" w:rsidRDefault="003E1307" w:rsidP="00D82393">
            <w:pPr>
              <w:pStyle w:val="ListParagraph"/>
              <w:suppressAutoHyphens/>
              <w:overflowPunct w:val="0"/>
              <w:spacing w:before="120" w:after="60" w:line="100" w:lineRule="atLeast"/>
              <w:ind w:left="85" w:right="85" w:hanging="394"/>
              <w:rPr>
                <w:rFonts w:ascii="Arial" w:hAnsi="Arial" w:cs="Arial"/>
                <w:color w:val="00B050"/>
                <w:sz w:val="18"/>
                <w:lang w:val="en-US"/>
              </w:rPr>
            </w:pPr>
          </w:p>
        </w:tc>
        <w:tc>
          <w:tcPr>
            <w:tcW w:w="3028" w:type="dxa"/>
            <w:tcBorders>
              <w:top w:val="single" w:sz="24"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pStyle w:val="ListParagraph"/>
              <w:suppressAutoHyphens/>
              <w:overflowPunct w:val="0"/>
              <w:spacing w:before="120" w:after="60" w:line="100" w:lineRule="atLeast"/>
              <w:ind w:left="0" w:right="85"/>
              <w:rPr>
                <w:rFonts w:ascii="Arial" w:hAnsi="Arial" w:cs="Arial"/>
                <w:sz w:val="18"/>
              </w:rPr>
            </w:pPr>
            <w:r w:rsidRPr="003E1307">
              <w:rPr>
                <w:rFonts w:ascii="Arial" w:hAnsi="Arial" w:cs="Arial"/>
                <w:sz w:val="18"/>
                <w:szCs w:val="22"/>
              </w:rPr>
              <w:t>1-2 years post-qualification teaching experience in a primary setting</w:t>
            </w:r>
          </w:p>
          <w:p w:rsidR="003E1307" w:rsidRPr="003E1307" w:rsidRDefault="003E1307" w:rsidP="00D82393">
            <w:pPr>
              <w:pStyle w:val="ListParagraph"/>
              <w:suppressAutoHyphens/>
              <w:overflowPunct w:val="0"/>
              <w:spacing w:before="120" w:after="60" w:line="100" w:lineRule="atLeast"/>
              <w:ind w:left="28" w:right="83" w:hanging="28"/>
              <w:rPr>
                <w:rFonts w:ascii="Arial" w:hAnsi="Arial" w:cs="Arial"/>
                <w:sz w:val="18"/>
              </w:rPr>
            </w:pPr>
          </w:p>
          <w:p w:rsidR="003E1307" w:rsidRPr="003E1307" w:rsidRDefault="003E1307" w:rsidP="00D82393">
            <w:pPr>
              <w:pStyle w:val="ListParagraph"/>
              <w:suppressAutoHyphens/>
              <w:overflowPunct w:val="0"/>
              <w:spacing w:before="120" w:after="60" w:line="100" w:lineRule="atLeast"/>
              <w:ind w:left="28" w:right="83" w:hanging="394"/>
              <w:rPr>
                <w:rFonts w:ascii="Arial" w:hAnsi="Arial" w:cs="Arial"/>
                <w:sz w:val="18"/>
                <w:lang w:val="en-US"/>
              </w:rPr>
            </w:pPr>
          </w:p>
        </w:tc>
        <w:tc>
          <w:tcPr>
            <w:tcW w:w="1621" w:type="dxa"/>
            <w:tcBorders>
              <w:top w:val="single" w:sz="24"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spacing w:before="120" w:after="60"/>
              <w:ind w:right="83"/>
              <w:rPr>
                <w:rFonts w:ascii="Arial" w:hAnsi="Arial" w:cs="Arial"/>
                <w:sz w:val="18"/>
              </w:rPr>
            </w:pPr>
            <w:r w:rsidRPr="003E1307">
              <w:rPr>
                <w:rFonts w:ascii="Arial" w:hAnsi="Arial" w:cs="Arial"/>
                <w:sz w:val="18"/>
                <w:szCs w:val="22"/>
                <w:lang w:val="en-US"/>
              </w:rPr>
              <w:t>A/I</w:t>
            </w:r>
          </w:p>
          <w:p w:rsidR="003E1307" w:rsidRPr="003E1307" w:rsidRDefault="003E1307" w:rsidP="00D82393">
            <w:pPr>
              <w:spacing w:before="120" w:after="60"/>
              <w:ind w:right="83"/>
              <w:rPr>
                <w:rFonts w:ascii="Arial" w:hAnsi="Arial" w:cs="Arial"/>
                <w:sz w:val="18"/>
              </w:rPr>
            </w:pPr>
          </w:p>
        </w:tc>
      </w:tr>
      <w:tr w:rsidR="003E1307" w:rsidRPr="006845D0" w:rsidTr="00D82393">
        <w:trPr>
          <w:cantSplit/>
          <w:trHeight w:val="1134"/>
        </w:trPr>
        <w:tc>
          <w:tcPr>
            <w:tcW w:w="675" w:type="dxa"/>
            <w:tcBorders>
              <w:top w:val="single" w:sz="6" w:space="0" w:color="FFFFFF"/>
              <w:left w:val="single" w:sz="8" w:space="0" w:color="FFFFFF"/>
              <w:right w:val="single" w:sz="24" w:space="0" w:color="FFFFFF"/>
            </w:tcBorders>
            <w:shd w:val="clear" w:color="auto" w:fill="002060"/>
            <w:tcMar>
              <w:top w:w="0" w:type="dxa"/>
              <w:left w:w="108" w:type="dxa"/>
              <w:bottom w:w="0" w:type="dxa"/>
              <w:right w:w="108" w:type="dxa"/>
            </w:tcMar>
            <w:textDirection w:val="btLr"/>
            <w:vAlign w:val="bottom"/>
          </w:tcPr>
          <w:p w:rsidR="003E1307" w:rsidRPr="003E1307" w:rsidRDefault="003E1307" w:rsidP="00D82393">
            <w:pPr>
              <w:pStyle w:val="Standard"/>
              <w:ind w:left="113" w:right="113"/>
              <w:rPr>
                <w:sz w:val="18"/>
                <w:szCs w:val="22"/>
              </w:rPr>
            </w:pPr>
            <w:r w:rsidRPr="003E1307">
              <w:rPr>
                <w:color w:val="FFFFFF"/>
                <w:sz w:val="18"/>
                <w:szCs w:val="22"/>
              </w:rPr>
              <w:t>Education and Qualifications</w:t>
            </w:r>
          </w:p>
        </w:tc>
        <w:tc>
          <w:tcPr>
            <w:tcW w:w="4111" w:type="dxa"/>
            <w:tcBorders>
              <w:top w:val="single" w:sz="6" w:space="0" w:color="FFFFFF"/>
              <w:left w:val="single" w:sz="6" w:space="0" w:color="FFFFFF"/>
              <w:bottom w:val="single" w:sz="6" w:space="0" w:color="FFFFFF"/>
              <w:right w:val="single" w:sz="6" w:space="0" w:color="FFFFFF"/>
            </w:tcBorders>
            <w:shd w:val="clear" w:color="auto" w:fill="D3DFEE"/>
            <w:tcMar>
              <w:top w:w="0" w:type="dxa"/>
              <w:left w:w="108" w:type="dxa"/>
              <w:bottom w:w="0" w:type="dxa"/>
              <w:right w:w="108" w:type="dxa"/>
            </w:tcMar>
          </w:tcPr>
          <w:p w:rsidR="003E1307" w:rsidRPr="003E1307" w:rsidRDefault="003E1307" w:rsidP="00D82393">
            <w:pPr>
              <w:pStyle w:val="ListParagraph"/>
              <w:suppressAutoHyphens/>
              <w:overflowPunct w:val="0"/>
              <w:spacing w:before="120" w:after="60" w:line="100" w:lineRule="atLeast"/>
              <w:ind w:left="85" w:right="85" w:hanging="85"/>
              <w:rPr>
                <w:rFonts w:ascii="Arial" w:hAnsi="Arial" w:cs="Arial"/>
                <w:sz w:val="18"/>
              </w:rPr>
            </w:pPr>
            <w:r w:rsidRPr="003E1307">
              <w:rPr>
                <w:rFonts w:ascii="Arial" w:hAnsi="Arial" w:cs="Arial"/>
                <w:sz w:val="18"/>
                <w:szCs w:val="22"/>
                <w:lang w:val="en-US"/>
              </w:rPr>
              <w:t>Degree or equivalent</w:t>
            </w:r>
          </w:p>
          <w:p w:rsidR="003E1307" w:rsidRPr="003E1307" w:rsidRDefault="003E1307" w:rsidP="00D82393">
            <w:pPr>
              <w:pStyle w:val="ListParagraph"/>
              <w:suppressAutoHyphens/>
              <w:overflowPunct w:val="0"/>
              <w:spacing w:before="120" w:after="60" w:line="100" w:lineRule="atLeast"/>
              <w:ind w:left="85" w:right="85" w:hanging="85"/>
              <w:rPr>
                <w:rFonts w:ascii="Arial" w:hAnsi="Arial" w:cs="Arial"/>
                <w:sz w:val="18"/>
              </w:rPr>
            </w:pPr>
            <w:r w:rsidRPr="003E1307">
              <w:rPr>
                <w:rFonts w:ascii="Arial" w:hAnsi="Arial" w:cs="Arial"/>
                <w:sz w:val="18"/>
                <w:szCs w:val="22"/>
              </w:rPr>
              <w:t>T</w:t>
            </w:r>
            <w:proofErr w:type="spellStart"/>
            <w:r w:rsidRPr="003E1307">
              <w:rPr>
                <w:rFonts w:ascii="Arial" w:hAnsi="Arial" w:cs="Arial"/>
                <w:sz w:val="18"/>
                <w:szCs w:val="22"/>
                <w:lang w:val="en-US"/>
              </w:rPr>
              <w:t>eaching</w:t>
            </w:r>
            <w:proofErr w:type="spellEnd"/>
            <w:r w:rsidRPr="003E1307">
              <w:rPr>
                <w:rFonts w:ascii="Arial" w:hAnsi="Arial" w:cs="Arial"/>
                <w:sz w:val="18"/>
                <w:szCs w:val="22"/>
                <w:lang w:val="en-US"/>
              </w:rPr>
              <w:t xml:space="preserve"> qualification/ QTS</w:t>
            </w:r>
          </w:p>
          <w:p w:rsidR="003E1307" w:rsidRPr="003E1307" w:rsidRDefault="003E1307" w:rsidP="00D82393">
            <w:pPr>
              <w:spacing w:before="120" w:after="120"/>
              <w:ind w:right="85"/>
              <w:rPr>
                <w:rFonts w:ascii="Arial" w:hAnsi="Arial" w:cs="Arial"/>
                <w:sz w:val="18"/>
              </w:rPr>
            </w:pPr>
            <w:r w:rsidRPr="003E1307">
              <w:rPr>
                <w:rFonts w:ascii="Arial" w:hAnsi="Arial" w:cs="Arial"/>
                <w:sz w:val="18"/>
                <w:szCs w:val="22"/>
                <w:lang w:val="en-US"/>
              </w:rPr>
              <w:t>Recent and relevant professional development / training</w:t>
            </w:r>
          </w:p>
          <w:p w:rsidR="003E1307" w:rsidRPr="003E1307" w:rsidRDefault="003E1307" w:rsidP="00D82393">
            <w:pPr>
              <w:spacing w:before="120" w:after="120"/>
              <w:ind w:left="-167" w:right="85"/>
              <w:rPr>
                <w:rFonts w:ascii="Arial" w:hAnsi="Arial" w:cs="Arial"/>
                <w:sz w:val="18"/>
              </w:rPr>
            </w:pPr>
          </w:p>
        </w:tc>
        <w:tc>
          <w:tcPr>
            <w:tcW w:w="3028" w:type="dxa"/>
            <w:tcBorders>
              <w:top w:val="single" w:sz="6" w:space="0" w:color="FFFFFF"/>
              <w:left w:val="single" w:sz="6" w:space="0" w:color="FFFFFF"/>
              <w:bottom w:val="single" w:sz="6" w:space="0" w:color="FFFFFF"/>
              <w:right w:val="single" w:sz="6" w:space="0" w:color="FFFFFF"/>
            </w:tcBorders>
            <w:shd w:val="clear" w:color="auto" w:fill="D3DFEE"/>
            <w:tcMar>
              <w:top w:w="0" w:type="dxa"/>
              <w:left w:w="108" w:type="dxa"/>
              <w:bottom w:w="0" w:type="dxa"/>
              <w:right w:w="108" w:type="dxa"/>
            </w:tcMar>
          </w:tcPr>
          <w:p w:rsidR="003E1307" w:rsidRPr="003E1307" w:rsidRDefault="003E1307" w:rsidP="00D82393">
            <w:pPr>
              <w:rPr>
                <w:rFonts w:ascii="Arial" w:hAnsi="Arial" w:cs="Arial"/>
                <w:sz w:val="18"/>
              </w:rPr>
            </w:pPr>
            <w:bookmarkStart w:id="0" w:name="_GoBack"/>
            <w:bookmarkEnd w:id="0"/>
          </w:p>
        </w:tc>
        <w:tc>
          <w:tcPr>
            <w:tcW w:w="1621" w:type="dxa"/>
            <w:tcBorders>
              <w:top w:val="single" w:sz="6" w:space="0" w:color="FFFFFF"/>
              <w:left w:val="single" w:sz="6" w:space="0" w:color="FFFFFF"/>
              <w:bottom w:val="single" w:sz="6" w:space="0" w:color="FFFFFF"/>
              <w:right w:val="single" w:sz="8" w:space="0" w:color="FFFFFF"/>
            </w:tcBorders>
            <w:shd w:val="clear" w:color="auto" w:fill="D3DFEE"/>
            <w:tcMar>
              <w:top w:w="0" w:type="dxa"/>
              <w:left w:w="108" w:type="dxa"/>
              <w:bottom w:w="0" w:type="dxa"/>
              <w:right w:w="108" w:type="dxa"/>
            </w:tcMar>
          </w:tcPr>
          <w:p w:rsidR="003E1307" w:rsidRPr="003E1307" w:rsidRDefault="003E1307" w:rsidP="00D82393">
            <w:pPr>
              <w:spacing w:before="120" w:after="60"/>
              <w:ind w:right="83"/>
              <w:rPr>
                <w:rFonts w:ascii="Arial" w:hAnsi="Arial" w:cs="Arial"/>
                <w:sz w:val="18"/>
              </w:rPr>
            </w:pPr>
            <w:r w:rsidRPr="003E1307">
              <w:rPr>
                <w:rFonts w:ascii="Arial" w:hAnsi="Arial" w:cs="Arial"/>
                <w:sz w:val="18"/>
                <w:szCs w:val="22"/>
                <w:lang w:val="en-US"/>
              </w:rPr>
              <w:t>A/I</w:t>
            </w:r>
          </w:p>
        </w:tc>
      </w:tr>
      <w:tr w:rsidR="003E1307" w:rsidRPr="006845D0" w:rsidTr="00D82393">
        <w:trPr>
          <w:cantSplit/>
          <w:trHeight w:val="1134"/>
        </w:trPr>
        <w:tc>
          <w:tcPr>
            <w:tcW w:w="675" w:type="dxa"/>
            <w:tcBorders>
              <w:top w:val="single" w:sz="8" w:space="0" w:color="FFFFFF"/>
              <w:left w:val="single" w:sz="8" w:space="0" w:color="FFFFFF"/>
              <w:right w:val="single" w:sz="24" w:space="0" w:color="FFFFFF"/>
            </w:tcBorders>
            <w:shd w:val="clear" w:color="auto" w:fill="002060"/>
            <w:tcMar>
              <w:top w:w="0" w:type="dxa"/>
              <w:left w:w="108" w:type="dxa"/>
              <w:bottom w:w="0" w:type="dxa"/>
              <w:right w:w="108" w:type="dxa"/>
            </w:tcMar>
            <w:textDirection w:val="btLr"/>
          </w:tcPr>
          <w:p w:rsidR="003E1307" w:rsidRPr="003E1307" w:rsidRDefault="003E1307" w:rsidP="00D82393">
            <w:pPr>
              <w:pStyle w:val="Standard"/>
              <w:ind w:left="113" w:right="113"/>
              <w:jc w:val="right"/>
              <w:rPr>
                <w:sz w:val="18"/>
                <w:szCs w:val="22"/>
              </w:rPr>
            </w:pPr>
            <w:r w:rsidRPr="003E1307">
              <w:rPr>
                <w:color w:val="FFFFFF"/>
                <w:sz w:val="18"/>
                <w:szCs w:val="22"/>
              </w:rPr>
              <w:lastRenderedPageBreak/>
              <w:t>Teaching and Learning</w:t>
            </w:r>
          </w:p>
        </w:tc>
        <w:tc>
          <w:tcPr>
            <w:tcW w:w="4111" w:type="dxa"/>
            <w:tcBorders>
              <w:top w:val="single" w:sz="8"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spacing w:before="120" w:after="60"/>
              <w:ind w:right="83"/>
              <w:rPr>
                <w:rFonts w:ascii="Arial" w:hAnsi="Arial" w:cs="Arial"/>
                <w:sz w:val="18"/>
                <w:lang w:val="en-US"/>
              </w:rPr>
            </w:pPr>
            <w:r w:rsidRPr="003E1307">
              <w:rPr>
                <w:rFonts w:ascii="Arial" w:hAnsi="Arial" w:cs="Arial"/>
                <w:sz w:val="18"/>
                <w:szCs w:val="22"/>
                <w:lang w:val="en-US"/>
              </w:rPr>
              <w:t>Evidence of excellent teaching and learning</w:t>
            </w:r>
          </w:p>
          <w:p w:rsidR="003E1307" w:rsidRPr="003E1307" w:rsidRDefault="003E1307" w:rsidP="00D82393">
            <w:pPr>
              <w:spacing w:before="120" w:after="60"/>
              <w:ind w:right="83"/>
              <w:rPr>
                <w:rFonts w:ascii="Arial" w:hAnsi="Arial" w:cs="Arial"/>
                <w:sz w:val="18"/>
                <w:lang w:val="en-US"/>
              </w:rPr>
            </w:pPr>
            <w:r w:rsidRPr="003E1307">
              <w:rPr>
                <w:rFonts w:ascii="Arial" w:hAnsi="Arial" w:cs="Arial"/>
                <w:sz w:val="18"/>
                <w:szCs w:val="22"/>
                <w:lang w:val="en-US"/>
              </w:rPr>
              <w:t>Ability to develop creative and innovate strategies for performance improvement</w:t>
            </w:r>
          </w:p>
          <w:p w:rsidR="003E1307" w:rsidRPr="003E1307" w:rsidRDefault="003E1307" w:rsidP="00D82393">
            <w:pPr>
              <w:spacing w:before="120" w:after="60"/>
              <w:ind w:right="83"/>
              <w:rPr>
                <w:rFonts w:ascii="Arial" w:hAnsi="Arial" w:cs="Arial"/>
                <w:sz w:val="18"/>
                <w:lang w:val="en-US"/>
              </w:rPr>
            </w:pPr>
            <w:r w:rsidRPr="003E1307">
              <w:rPr>
                <w:rFonts w:ascii="Arial" w:hAnsi="Arial" w:cs="Arial"/>
                <w:sz w:val="18"/>
                <w:szCs w:val="22"/>
              </w:rPr>
              <w:t>Evidence of robust planning and   delivery of relevant schemes of work to show what engage children and enable them to make excellent progress</w:t>
            </w:r>
          </w:p>
          <w:p w:rsidR="003E1307" w:rsidRPr="003E1307" w:rsidRDefault="003E1307" w:rsidP="00D82393">
            <w:pPr>
              <w:spacing w:before="120" w:after="60"/>
              <w:ind w:right="83"/>
              <w:rPr>
                <w:rFonts w:ascii="Arial" w:hAnsi="Arial" w:cs="Arial"/>
                <w:sz w:val="18"/>
              </w:rPr>
            </w:pPr>
          </w:p>
        </w:tc>
        <w:tc>
          <w:tcPr>
            <w:tcW w:w="3028" w:type="dxa"/>
            <w:tcBorders>
              <w:top w:val="single" w:sz="8"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ind w:left="30" w:hanging="30"/>
              <w:rPr>
                <w:rFonts w:ascii="Arial" w:hAnsi="Arial" w:cs="Arial"/>
                <w:sz w:val="18"/>
              </w:rPr>
            </w:pPr>
            <w:r w:rsidRPr="003E1307">
              <w:rPr>
                <w:rFonts w:ascii="Arial" w:hAnsi="Arial" w:cs="Arial"/>
                <w:sz w:val="18"/>
                <w:szCs w:val="22"/>
              </w:rPr>
              <w:t>Committed to continuous learning for the entire school community</w:t>
            </w:r>
          </w:p>
          <w:p w:rsidR="003E1307" w:rsidRPr="003E1307" w:rsidRDefault="003E1307" w:rsidP="00D82393">
            <w:pPr>
              <w:ind w:left="30" w:hanging="30"/>
              <w:rPr>
                <w:rFonts w:ascii="Arial" w:hAnsi="Arial" w:cs="Arial"/>
                <w:sz w:val="18"/>
              </w:rPr>
            </w:pPr>
          </w:p>
          <w:p w:rsidR="003E1307" w:rsidRPr="003E1307" w:rsidRDefault="003E1307" w:rsidP="00D82393">
            <w:pPr>
              <w:ind w:left="30" w:hanging="30"/>
              <w:rPr>
                <w:rFonts w:ascii="Arial" w:hAnsi="Arial" w:cs="Arial"/>
                <w:sz w:val="18"/>
              </w:rPr>
            </w:pPr>
            <w:r w:rsidRPr="003E1307">
              <w:rPr>
                <w:rFonts w:ascii="Arial" w:hAnsi="Arial" w:cs="Arial"/>
                <w:sz w:val="18"/>
                <w:szCs w:val="22"/>
              </w:rPr>
              <w:t>Awareness of current curriculum issues and educational developments</w:t>
            </w:r>
          </w:p>
          <w:p w:rsidR="003E1307" w:rsidRPr="003E1307" w:rsidRDefault="003E1307" w:rsidP="00D82393">
            <w:pPr>
              <w:spacing w:before="120" w:after="60"/>
              <w:ind w:right="83"/>
              <w:rPr>
                <w:rFonts w:ascii="Arial" w:hAnsi="Arial" w:cs="Arial"/>
                <w:sz w:val="18"/>
                <w:lang w:val="en-US"/>
              </w:rPr>
            </w:pPr>
          </w:p>
          <w:p w:rsidR="003E1307" w:rsidRPr="003E1307" w:rsidRDefault="003E1307" w:rsidP="00D82393">
            <w:pPr>
              <w:autoSpaceDE w:val="0"/>
              <w:adjustRightInd w:val="0"/>
              <w:rPr>
                <w:rFonts w:ascii="Arial" w:hAnsi="Arial" w:cs="Arial"/>
                <w:sz w:val="18"/>
                <w:lang w:val="en-US" w:eastAsia="en-US"/>
              </w:rPr>
            </w:pPr>
          </w:p>
        </w:tc>
        <w:tc>
          <w:tcPr>
            <w:tcW w:w="1621" w:type="dxa"/>
            <w:tcBorders>
              <w:top w:val="single" w:sz="8"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spacing w:before="120" w:after="60"/>
              <w:ind w:right="83"/>
              <w:rPr>
                <w:rFonts w:ascii="Arial" w:hAnsi="Arial" w:cs="Arial"/>
                <w:sz w:val="18"/>
                <w:lang w:val="en-US"/>
              </w:rPr>
            </w:pPr>
            <w:r w:rsidRPr="003E1307">
              <w:rPr>
                <w:rFonts w:ascii="Arial" w:hAnsi="Arial" w:cs="Arial"/>
                <w:sz w:val="18"/>
                <w:szCs w:val="22"/>
                <w:lang w:val="en-US"/>
              </w:rPr>
              <w:t>A/I/L</w:t>
            </w:r>
          </w:p>
          <w:p w:rsidR="003E1307" w:rsidRPr="003E1307" w:rsidRDefault="003E1307" w:rsidP="00D82393">
            <w:pPr>
              <w:spacing w:before="120" w:after="60"/>
              <w:ind w:left="85" w:right="83"/>
              <w:rPr>
                <w:rFonts w:ascii="Arial" w:hAnsi="Arial" w:cs="Arial"/>
                <w:sz w:val="18"/>
                <w:lang w:val="en-US"/>
              </w:rPr>
            </w:pPr>
          </w:p>
        </w:tc>
      </w:tr>
      <w:tr w:rsidR="003E1307" w:rsidRPr="006845D0" w:rsidTr="00D82393">
        <w:trPr>
          <w:cantSplit/>
          <w:trHeight w:val="2020"/>
        </w:trPr>
        <w:tc>
          <w:tcPr>
            <w:tcW w:w="675" w:type="dxa"/>
            <w:tcBorders>
              <w:top w:val="single" w:sz="8" w:space="0" w:color="FFFFFF"/>
              <w:left w:val="single" w:sz="8" w:space="0" w:color="FFFFFF"/>
              <w:right w:val="single" w:sz="24" w:space="0" w:color="FFFFFF"/>
            </w:tcBorders>
            <w:shd w:val="clear" w:color="auto" w:fill="002060"/>
            <w:tcMar>
              <w:top w:w="0" w:type="dxa"/>
              <w:left w:w="108" w:type="dxa"/>
              <w:bottom w:w="0" w:type="dxa"/>
              <w:right w:w="108" w:type="dxa"/>
            </w:tcMar>
            <w:textDirection w:val="btLr"/>
          </w:tcPr>
          <w:p w:rsidR="003E1307" w:rsidRPr="003E1307" w:rsidRDefault="003E1307" w:rsidP="00D82393">
            <w:pPr>
              <w:pStyle w:val="Standard"/>
              <w:ind w:left="113" w:right="113"/>
              <w:jc w:val="right"/>
              <w:rPr>
                <w:sz w:val="18"/>
                <w:szCs w:val="22"/>
              </w:rPr>
            </w:pPr>
            <w:r w:rsidRPr="003E1307">
              <w:rPr>
                <w:color w:val="FFFFFF"/>
                <w:sz w:val="18"/>
                <w:szCs w:val="22"/>
              </w:rPr>
              <w:t>Partnership and community links</w:t>
            </w:r>
          </w:p>
        </w:tc>
        <w:tc>
          <w:tcPr>
            <w:tcW w:w="4111" w:type="dxa"/>
            <w:tcBorders>
              <w:top w:val="single" w:sz="8"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spacing w:before="120" w:after="60"/>
              <w:ind w:right="83"/>
              <w:rPr>
                <w:rFonts w:ascii="Arial" w:hAnsi="Arial" w:cs="Arial"/>
                <w:sz w:val="18"/>
                <w:lang w:val="en-US"/>
              </w:rPr>
            </w:pPr>
            <w:r w:rsidRPr="003E1307">
              <w:rPr>
                <w:rFonts w:ascii="Arial" w:hAnsi="Arial" w:cs="Arial"/>
                <w:sz w:val="18"/>
                <w:szCs w:val="22"/>
                <w:lang w:val="en-US"/>
              </w:rPr>
              <w:t xml:space="preserve">Track record of, and genuine belief in, the importance of the parent/ </w:t>
            </w:r>
            <w:proofErr w:type="spellStart"/>
            <w:r w:rsidRPr="003E1307">
              <w:rPr>
                <w:rFonts w:ascii="Arial" w:hAnsi="Arial" w:cs="Arial"/>
                <w:sz w:val="18"/>
                <w:szCs w:val="22"/>
                <w:lang w:val="en-US"/>
              </w:rPr>
              <w:t>carer</w:t>
            </w:r>
            <w:proofErr w:type="spellEnd"/>
            <w:r w:rsidRPr="003E1307">
              <w:rPr>
                <w:rFonts w:ascii="Arial" w:hAnsi="Arial" w:cs="Arial"/>
                <w:sz w:val="18"/>
                <w:szCs w:val="22"/>
                <w:lang w:val="en-US"/>
              </w:rPr>
              <w:t xml:space="preserve"> and community in children’s education</w:t>
            </w:r>
          </w:p>
          <w:p w:rsidR="003E1307" w:rsidRPr="003E1307" w:rsidRDefault="003E1307" w:rsidP="00D82393">
            <w:pPr>
              <w:spacing w:before="120" w:after="60"/>
              <w:ind w:right="83"/>
              <w:rPr>
                <w:rFonts w:ascii="Arial" w:hAnsi="Arial" w:cs="Arial"/>
                <w:color w:val="000000"/>
                <w:sz w:val="18"/>
              </w:rPr>
            </w:pPr>
          </w:p>
          <w:p w:rsidR="003E1307" w:rsidRPr="003E1307" w:rsidRDefault="003E1307" w:rsidP="00D82393">
            <w:pPr>
              <w:spacing w:before="120" w:after="60"/>
              <w:ind w:left="-309" w:right="83"/>
              <w:rPr>
                <w:rFonts w:ascii="Arial" w:hAnsi="Arial" w:cs="Arial"/>
                <w:sz w:val="18"/>
                <w:lang w:val="en-US"/>
              </w:rPr>
            </w:pPr>
          </w:p>
        </w:tc>
        <w:tc>
          <w:tcPr>
            <w:tcW w:w="3028" w:type="dxa"/>
            <w:tcBorders>
              <w:top w:val="single" w:sz="8"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spacing w:before="120" w:after="60"/>
              <w:ind w:right="83"/>
              <w:rPr>
                <w:rFonts w:ascii="Arial" w:hAnsi="Arial" w:cs="Arial"/>
                <w:sz w:val="18"/>
              </w:rPr>
            </w:pPr>
            <w:r w:rsidRPr="003E1307">
              <w:rPr>
                <w:rFonts w:ascii="Arial" w:hAnsi="Arial" w:cs="Arial"/>
                <w:sz w:val="18"/>
                <w:szCs w:val="22"/>
                <w:lang w:val="en-US"/>
              </w:rPr>
              <w:t>Experience of developing community and pupil involvement in schools</w:t>
            </w:r>
          </w:p>
          <w:p w:rsidR="003E1307" w:rsidRPr="003E1307" w:rsidRDefault="003E1307" w:rsidP="00D82393">
            <w:pPr>
              <w:spacing w:before="120" w:after="60"/>
              <w:ind w:right="83"/>
              <w:rPr>
                <w:rFonts w:ascii="Arial" w:hAnsi="Arial" w:cs="Arial"/>
                <w:sz w:val="18"/>
              </w:rPr>
            </w:pPr>
          </w:p>
        </w:tc>
        <w:tc>
          <w:tcPr>
            <w:tcW w:w="1621" w:type="dxa"/>
            <w:tcBorders>
              <w:top w:val="single" w:sz="8"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spacing w:before="120" w:after="60"/>
              <w:ind w:right="83"/>
              <w:rPr>
                <w:rFonts w:ascii="Arial" w:hAnsi="Arial" w:cs="Arial"/>
                <w:sz w:val="18"/>
                <w:lang w:val="en-US"/>
              </w:rPr>
            </w:pPr>
            <w:r w:rsidRPr="003E1307">
              <w:rPr>
                <w:rFonts w:ascii="Arial" w:hAnsi="Arial" w:cs="Arial"/>
                <w:sz w:val="18"/>
                <w:szCs w:val="22"/>
                <w:lang w:val="en-US"/>
              </w:rPr>
              <w:t>A/I</w:t>
            </w:r>
          </w:p>
          <w:p w:rsidR="003E1307" w:rsidRPr="003E1307" w:rsidRDefault="003E1307" w:rsidP="00D82393">
            <w:pPr>
              <w:spacing w:before="120" w:after="60"/>
              <w:ind w:left="85" w:right="83"/>
              <w:rPr>
                <w:rFonts w:ascii="Arial" w:hAnsi="Arial" w:cs="Arial"/>
                <w:sz w:val="18"/>
                <w:lang w:val="en-US"/>
              </w:rPr>
            </w:pPr>
          </w:p>
        </w:tc>
      </w:tr>
      <w:tr w:rsidR="003E1307" w:rsidRPr="006845D0" w:rsidTr="00D82393">
        <w:trPr>
          <w:cantSplit/>
          <w:trHeight w:val="1134"/>
        </w:trPr>
        <w:tc>
          <w:tcPr>
            <w:tcW w:w="675" w:type="dxa"/>
            <w:tcBorders>
              <w:top w:val="single" w:sz="8" w:space="0" w:color="FFFFFF"/>
              <w:left w:val="single" w:sz="8" w:space="0" w:color="FFFFFF"/>
              <w:bottom w:val="single" w:sz="8" w:space="0" w:color="FFFFFF"/>
              <w:right w:val="single" w:sz="24" w:space="0" w:color="FFFFFF"/>
            </w:tcBorders>
            <w:shd w:val="clear" w:color="auto" w:fill="002060"/>
            <w:tcMar>
              <w:top w:w="0" w:type="dxa"/>
              <w:left w:w="108" w:type="dxa"/>
              <w:bottom w:w="0" w:type="dxa"/>
              <w:right w:w="108" w:type="dxa"/>
            </w:tcMar>
            <w:textDirection w:val="btLr"/>
          </w:tcPr>
          <w:p w:rsidR="003E1307" w:rsidRPr="003E1307" w:rsidRDefault="003E1307" w:rsidP="00D82393">
            <w:pPr>
              <w:pStyle w:val="Standard"/>
              <w:ind w:left="113" w:right="113"/>
              <w:jc w:val="right"/>
              <w:rPr>
                <w:rFonts w:cs="Times New Roman"/>
                <w:sz w:val="18"/>
                <w:szCs w:val="22"/>
              </w:rPr>
            </w:pPr>
            <w:r w:rsidRPr="003E1307">
              <w:rPr>
                <w:color w:val="FFFFFF"/>
                <w:sz w:val="18"/>
                <w:szCs w:val="22"/>
              </w:rPr>
              <w:t>Personal attributes</w:t>
            </w:r>
          </w:p>
        </w:tc>
        <w:tc>
          <w:tcPr>
            <w:tcW w:w="4111" w:type="dxa"/>
            <w:tcBorders>
              <w:top w:val="single" w:sz="8"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spacing w:before="120" w:after="240"/>
              <w:ind w:right="85"/>
              <w:rPr>
                <w:rFonts w:ascii="Arial" w:hAnsi="Arial" w:cs="Arial"/>
                <w:sz w:val="18"/>
                <w:lang w:val="en-US"/>
              </w:rPr>
            </w:pPr>
            <w:r w:rsidRPr="003E1307">
              <w:rPr>
                <w:rFonts w:ascii="Arial" w:hAnsi="Arial" w:cs="Arial"/>
                <w:sz w:val="18"/>
                <w:szCs w:val="22"/>
                <w:lang w:val="en-US"/>
              </w:rPr>
              <w:t>Ability to communicate and deal sensitively with people and children</w:t>
            </w:r>
          </w:p>
          <w:p w:rsidR="003E1307" w:rsidRPr="003E1307" w:rsidRDefault="003E1307" w:rsidP="00D82393">
            <w:pPr>
              <w:spacing w:before="120" w:after="240"/>
              <w:ind w:right="85"/>
              <w:rPr>
                <w:rFonts w:ascii="Arial" w:hAnsi="Arial" w:cs="Arial"/>
                <w:sz w:val="18"/>
                <w:lang w:val="en-US"/>
              </w:rPr>
            </w:pPr>
            <w:r w:rsidRPr="003E1307">
              <w:rPr>
                <w:rFonts w:ascii="Arial" w:hAnsi="Arial" w:cs="Arial"/>
                <w:sz w:val="18"/>
                <w:szCs w:val="22"/>
                <w:lang w:val="en-US"/>
              </w:rPr>
              <w:t>Genuine understanding of children and commitment to develop each as an individual</w:t>
            </w:r>
          </w:p>
          <w:p w:rsidR="003E1307" w:rsidRPr="003E1307" w:rsidRDefault="003E1307" w:rsidP="00D82393">
            <w:pPr>
              <w:spacing w:before="120" w:after="240"/>
              <w:ind w:right="85"/>
              <w:rPr>
                <w:rFonts w:ascii="Arial" w:hAnsi="Arial" w:cs="Arial"/>
                <w:sz w:val="18"/>
              </w:rPr>
            </w:pPr>
            <w:r w:rsidRPr="003E1307">
              <w:rPr>
                <w:rFonts w:ascii="Arial" w:hAnsi="Arial" w:cs="Arial"/>
                <w:color w:val="000000"/>
                <w:sz w:val="18"/>
                <w:szCs w:val="22"/>
              </w:rPr>
              <w:t>The  confidence to build a creative learning culture</w:t>
            </w:r>
            <w:r w:rsidRPr="003E1307">
              <w:rPr>
                <w:rFonts w:ascii="Arial" w:hAnsi="Arial" w:cs="Arial"/>
                <w:color w:val="000000"/>
                <w:sz w:val="18"/>
                <w:szCs w:val="22"/>
                <w:lang w:val="en-US"/>
              </w:rPr>
              <w:t xml:space="preserve"> and to try new things</w:t>
            </w:r>
          </w:p>
          <w:p w:rsidR="003E1307" w:rsidRPr="003E1307" w:rsidRDefault="003E1307" w:rsidP="00D82393">
            <w:pPr>
              <w:spacing w:before="120" w:after="240"/>
              <w:ind w:right="85"/>
              <w:rPr>
                <w:rFonts w:ascii="Arial" w:hAnsi="Arial" w:cs="Arial"/>
                <w:sz w:val="18"/>
                <w:lang w:val="en-US"/>
              </w:rPr>
            </w:pPr>
            <w:r w:rsidRPr="003E1307">
              <w:rPr>
                <w:rFonts w:ascii="Arial" w:hAnsi="Arial" w:cs="Arial"/>
                <w:sz w:val="18"/>
                <w:szCs w:val="22"/>
                <w:lang w:val="en-US"/>
              </w:rPr>
              <w:t>Value diversity and the unique contribution that every individual makes to the learning community</w:t>
            </w:r>
          </w:p>
          <w:p w:rsidR="003E1307" w:rsidRPr="003E1307" w:rsidRDefault="003E1307" w:rsidP="00D82393">
            <w:pPr>
              <w:overflowPunct w:val="0"/>
              <w:rPr>
                <w:rFonts w:ascii="Arial" w:hAnsi="Arial" w:cs="Arial"/>
                <w:sz w:val="18"/>
              </w:rPr>
            </w:pPr>
            <w:r w:rsidRPr="003E1307">
              <w:rPr>
                <w:rFonts w:ascii="Arial" w:hAnsi="Arial" w:cs="Arial"/>
                <w:sz w:val="18"/>
                <w:szCs w:val="22"/>
              </w:rPr>
              <w:t>Able to prioritise and delegate, and implement tasks sensitively and flexibly</w:t>
            </w:r>
          </w:p>
          <w:p w:rsidR="003E1307" w:rsidRPr="003E1307" w:rsidRDefault="003E1307" w:rsidP="00D82393">
            <w:pPr>
              <w:spacing w:before="120" w:after="240"/>
              <w:ind w:right="85"/>
              <w:rPr>
                <w:rFonts w:cs="Arial"/>
                <w:sz w:val="18"/>
              </w:rPr>
            </w:pPr>
          </w:p>
        </w:tc>
        <w:tc>
          <w:tcPr>
            <w:tcW w:w="3028" w:type="dxa"/>
            <w:tcBorders>
              <w:top w:val="single" w:sz="8"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tabs>
                <w:tab w:val="left" w:pos="260"/>
              </w:tabs>
              <w:spacing w:before="120" w:after="60"/>
              <w:ind w:left="-309" w:right="83"/>
              <w:rPr>
                <w:rFonts w:cs="Arial"/>
                <w:sz w:val="18"/>
              </w:rPr>
            </w:pPr>
          </w:p>
        </w:tc>
        <w:tc>
          <w:tcPr>
            <w:tcW w:w="1621" w:type="dxa"/>
            <w:tcBorders>
              <w:top w:val="single" w:sz="8" w:space="0" w:color="FFFFFF"/>
              <w:left w:val="single" w:sz="8" w:space="0" w:color="FFFFFF"/>
              <w:bottom w:val="single" w:sz="8" w:space="0" w:color="FFFFFF"/>
              <w:right w:val="single" w:sz="8" w:space="0" w:color="FFFFFF"/>
            </w:tcBorders>
            <w:shd w:val="clear" w:color="auto" w:fill="C6D9F1"/>
            <w:tcMar>
              <w:top w:w="0" w:type="dxa"/>
              <w:left w:w="108" w:type="dxa"/>
              <w:bottom w:w="0" w:type="dxa"/>
              <w:right w:w="108" w:type="dxa"/>
            </w:tcMar>
          </w:tcPr>
          <w:p w:rsidR="003E1307" w:rsidRPr="003E1307" w:rsidRDefault="003E1307" w:rsidP="00D82393">
            <w:pPr>
              <w:autoSpaceDN w:val="0"/>
              <w:spacing w:before="120" w:after="60"/>
              <w:ind w:right="83"/>
              <w:rPr>
                <w:rFonts w:ascii="Arial" w:hAnsi="Arial" w:cs="Arial"/>
                <w:sz w:val="18"/>
              </w:rPr>
            </w:pPr>
            <w:r w:rsidRPr="003E1307">
              <w:rPr>
                <w:rFonts w:ascii="Arial" w:hAnsi="Arial" w:cs="Arial"/>
                <w:sz w:val="18"/>
                <w:szCs w:val="22"/>
                <w:lang w:val="en-US"/>
              </w:rPr>
              <w:t>I/A/L</w:t>
            </w:r>
          </w:p>
          <w:p w:rsidR="003E1307" w:rsidRPr="003E1307" w:rsidRDefault="003E1307" w:rsidP="00D82393">
            <w:pPr>
              <w:spacing w:before="120" w:after="60"/>
              <w:ind w:left="85" w:right="83"/>
              <w:rPr>
                <w:rFonts w:ascii="Arial" w:hAnsi="Arial" w:cs="Arial"/>
                <w:sz w:val="18"/>
              </w:rPr>
            </w:pPr>
          </w:p>
        </w:tc>
      </w:tr>
    </w:tbl>
    <w:p w:rsidR="003E1307" w:rsidRDefault="003E1307" w:rsidP="003E1307"/>
    <w:p w:rsidR="003E1307" w:rsidRDefault="003E1307" w:rsidP="003E1307">
      <w:pPr>
        <w:ind w:right="284"/>
        <w:rPr>
          <w:rFonts w:ascii="Arial" w:hAnsi="Arial" w:cs="Arial"/>
          <w:b/>
          <w:color w:val="0070C0"/>
          <w:sz w:val="28"/>
          <w:szCs w:val="28"/>
        </w:rPr>
      </w:pPr>
    </w:p>
    <w:p w:rsidR="003E1307" w:rsidRPr="0091588D" w:rsidRDefault="003E1307" w:rsidP="003E1307">
      <w:pPr>
        <w:ind w:right="284"/>
        <w:rPr>
          <w:rFonts w:ascii="Arial" w:hAnsi="Arial" w:cs="Arial"/>
        </w:rPr>
      </w:pPr>
    </w:p>
    <w:p w:rsidR="00ED0DD6" w:rsidRDefault="00ED0DD6"/>
    <w:sectPr w:rsidR="00ED0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A60A2"/>
    <w:multiLevelType w:val="multilevel"/>
    <w:tmpl w:val="28FA88E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 w15:restartNumberingAfterBreak="0">
    <w:nsid w:val="454D65F4"/>
    <w:multiLevelType w:val="multilevel"/>
    <w:tmpl w:val="0590BCE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07"/>
    <w:rsid w:val="003E1307"/>
    <w:rsid w:val="00ED0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8D5DD-3624-4CD0-AE9B-62806150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307"/>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E1307"/>
    <w:pPr>
      <w:ind w:left="720"/>
    </w:pPr>
  </w:style>
  <w:style w:type="paragraph" w:customStyle="1" w:styleId="Standard">
    <w:name w:val="Standard"/>
    <w:link w:val="StandardChar"/>
    <w:uiPriority w:val="99"/>
    <w:rsid w:val="003E1307"/>
    <w:pPr>
      <w:widowControl w:val="0"/>
      <w:suppressAutoHyphens/>
      <w:autoSpaceDN w:val="0"/>
      <w:spacing w:after="0" w:line="240" w:lineRule="auto"/>
      <w:textAlignment w:val="baseline"/>
    </w:pPr>
    <w:rPr>
      <w:rFonts w:ascii="Arial" w:eastAsia="SimSun" w:hAnsi="Arial" w:cs="Arial"/>
      <w:kern w:val="3"/>
      <w:sz w:val="24"/>
      <w:szCs w:val="24"/>
    </w:rPr>
  </w:style>
  <w:style w:type="character" w:customStyle="1" w:styleId="StandardChar">
    <w:name w:val="Standard Char"/>
    <w:link w:val="Standard"/>
    <w:uiPriority w:val="99"/>
    <w:rsid w:val="003E1307"/>
    <w:rPr>
      <w:rFonts w:ascii="Arial" w:eastAsia="SimSun" w:hAnsi="Arial" w:cs="Arial"/>
      <w:kern w:val="3"/>
      <w:sz w:val="24"/>
      <w:szCs w:val="24"/>
    </w:rPr>
  </w:style>
  <w:style w:type="paragraph" w:customStyle="1" w:styleId="Heading">
    <w:name w:val="Heading"/>
    <w:basedOn w:val="Normal"/>
    <w:next w:val="Normal"/>
    <w:rsid w:val="003E1307"/>
    <w:pPr>
      <w:keepNext/>
      <w:suppressAutoHyphens/>
      <w:spacing w:before="240" w:after="120" w:line="100" w:lineRule="atLeast"/>
      <w:textAlignment w:val="baseline"/>
    </w:pPr>
    <w:rPr>
      <w:rFonts w:ascii="Goudy Old Style" w:eastAsia="MS Mincho" w:hAnsi="Goudy Old Style" w:cs="Lucida Sans"/>
      <w:b/>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Abacus Belsize Primary School</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Savvides-Howell</dc:creator>
  <cp:keywords/>
  <dc:description/>
  <cp:lastModifiedBy>Stephanie Savvides-Howell</cp:lastModifiedBy>
  <cp:revision>1</cp:revision>
  <dcterms:created xsi:type="dcterms:W3CDTF">2018-01-31T10:41:00Z</dcterms:created>
  <dcterms:modified xsi:type="dcterms:W3CDTF">2018-01-31T10:42:00Z</dcterms:modified>
</cp:coreProperties>
</file>