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Job Description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2160" w:hanging="2160"/>
        <w:rPr/>
      </w:pPr>
      <w:bookmarkStart w:colFirst="0" w:colLast="0" w:name="_gjdgxs" w:id="0"/>
      <w:bookmarkEnd w:id="0"/>
      <w:r w:rsidDel="00000000" w:rsidR="00000000" w:rsidRPr="00000000">
        <w:rPr>
          <w:rFonts w:ascii="Arial" w:cs="Arial" w:eastAsia="Arial" w:hAnsi="Arial"/>
          <w:b w:val="1"/>
          <w:rtl w:val="0"/>
        </w:rPr>
        <w:t xml:space="preserve">Job Title:</w:t>
        <w:tab/>
      </w:r>
      <w:r w:rsidDel="00000000" w:rsidR="00000000" w:rsidRPr="00000000">
        <w:rPr>
          <w:rFonts w:ascii="Arial" w:cs="Arial" w:eastAsia="Arial" w:hAnsi="Arial"/>
          <w:rtl w:val="0"/>
        </w:rPr>
        <w:t xml:space="preserve">Trainer/Assessor of Careers Development Professionals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rPr>
      </w:pPr>
      <w:bookmarkStart w:colFirst="0" w:colLast="0" w:name="_30j0zll" w:id="1"/>
      <w:bookmarkEnd w:id="1"/>
      <w:r w:rsidDel="00000000" w:rsidR="00000000" w:rsidRPr="00000000">
        <w:rPr>
          <w:rFonts w:ascii="Arial" w:cs="Arial" w:eastAsia="Arial" w:hAnsi="Arial"/>
          <w:b w:val="1"/>
          <w:rtl w:val="0"/>
        </w:rPr>
        <w:t xml:space="preserve">Location:</w:t>
        <w:tab/>
        <w:tab/>
      </w:r>
      <w:r w:rsidDel="00000000" w:rsidR="00000000" w:rsidRPr="00000000">
        <w:rPr>
          <w:rFonts w:ascii="Arial" w:cs="Arial" w:eastAsia="Arial" w:hAnsi="Arial"/>
          <w:color w:val="222222"/>
          <w:highlight w:val="white"/>
          <w:rtl w:val="0"/>
        </w:rPr>
        <w:t xml:space="preserve">Nationwide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rtl w:val="0"/>
        </w:rPr>
        <w:t xml:space="preserve">Hours of work:</w:t>
        <w:tab/>
      </w:r>
      <w:r w:rsidDel="00000000" w:rsidR="00000000" w:rsidRPr="00000000">
        <w:rPr>
          <w:rFonts w:ascii="Arial" w:cs="Arial" w:eastAsia="Arial" w:hAnsi="Arial"/>
          <w:rtl w:val="0"/>
        </w:rPr>
        <w:t xml:space="preserve">Variable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rtl w:val="0"/>
        </w:rPr>
        <w:t xml:space="preserve">Reports to:</w:t>
        <w:tab/>
        <w:tab/>
      </w:r>
      <w:r w:rsidDel="00000000" w:rsidR="00000000" w:rsidRPr="00000000">
        <w:rPr>
          <w:rFonts w:ascii="Arial" w:cs="Arial" w:eastAsia="Arial" w:hAnsi="Arial"/>
          <w:rtl w:val="0"/>
        </w:rPr>
        <w:t xml:space="preserve">Apprenticeship Manager</w:t>
        <w:tab/>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Purpose of the Role: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rtl w:val="0"/>
        </w:rPr>
        <w:t xml:space="preserve">To manage the delivery of individual Apprenticeship programmes including the planning and delivery of induction, learning and assessment, reviews and recording of progress ensuring timely achievement of qualifications.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u w:val="single"/>
          <w:rtl w:val="0"/>
        </w:rPr>
        <w:t xml:space="preserve">Responsibilities: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Manage a caseload of Apprenticeships in an effective and timely manner.</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Plan the learning, assessment and reviews of apprentices in accordance with their personalised learning needs and the requirements of the Awarding Organisation.</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Organise and take part in the induction of apprentices.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Visit apprentices in accordance with their personalised learning needs but at a minimum of once per month.</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Deliver learning and assessment in the workplace in line with the Apprenticeship Standards.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Review and feedback on progress with learners completing the necessary reports on a monthly basis or for a shorter period of time as required by their personalised learning needs and / or your line manager.</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Update the e-portfolio systems relating to your apprentices in a clear and timely manner.</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Manage and maintain learner information in accordance with the Education and Skills Funding Agency audit requirements.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Assist with the development of the provision to ensure programmes are up to date.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Ensure all Equal Opportunities policies and Health and Safety requirements are complied with and all candidates are given fair access to assessment.</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take responsibility for safeguarding and promoting the welfare of all students with whom you come into contact.</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Attend and participate in standardisation meetings as required in London.</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Participate in and support the annual self-assessment process.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Maintain annual record of CPD, minimum 30 hours (pro rata).</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Employee value proposition:</w:t>
      </w:r>
    </w:p>
    <w:p w:rsidR="00000000" w:rsidDel="00000000" w:rsidP="00000000" w:rsidRDefault="00000000" w:rsidRPr="00000000" w14:paraId="00000023">
      <w:pPr>
        <w:spacing w:after="0" w:line="240" w:lineRule="auto"/>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5">
      <w:pPr>
        <w:spacing w:after="0" w:line="240" w:lineRule="auto"/>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Our values: </w:t>
      </w:r>
    </w:p>
    <w:p w:rsidR="00000000" w:rsidDel="00000000" w:rsidP="00000000" w:rsidRDefault="00000000" w:rsidRPr="00000000" w14:paraId="00000027">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The post holder will be expected to operate in line with our values which are:</w:t>
      </w:r>
    </w:p>
    <w:p w:rsidR="00000000" w:rsidDel="00000000" w:rsidP="00000000" w:rsidRDefault="00000000" w:rsidRPr="00000000" w14:paraId="00000029">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unusually brave</w:t>
      </w:r>
    </w:p>
    <w:p w:rsidR="00000000" w:rsidDel="00000000" w:rsidP="00000000" w:rsidRDefault="00000000" w:rsidRPr="00000000" w14:paraId="0000002B">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Discover what’s possible</w:t>
      </w:r>
    </w:p>
    <w:p w:rsidR="00000000" w:rsidDel="00000000" w:rsidP="00000000" w:rsidRDefault="00000000" w:rsidRPr="00000000" w14:paraId="0000002C">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Push the limits</w:t>
      </w:r>
    </w:p>
    <w:p w:rsidR="00000000" w:rsidDel="00000000" w:rsidP="00000000" w:rsidRDefault="00000000" w:rsidRPr="00000000" w14:paraId="0000002D">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big hearted </w:t>
      </w:r>
    </w:p>
    <w:p w:rsidR="00000000" w:rsidDel="00000000" w:rsidP="00000000" w:rsidRDefault="00000000" w:rsidRPr="00000000" w14:paraId="0000002E">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30">
      <w:pPr>
        <w:spacing w:after="0" w:lineRule="auto"/>
        <w:ind w:left="860" w:hanging="360"/>
        <w:rPr>
          <w:rFonts w:ascii="Arial" w:cs="Arial" w:eastAsia="Arial" w:hAnsi="Arial"/>
          <w:b w:val="1"/>
          <w:color w:val="222222"/>
          <w:highlight w:val="white"/>
        </w:rPr>
      </w:pPr>
      <w:r w:rsidDel="00000000" w:rsidR="00000000" w:rsidRPr="00000000">
        <w:rPr>
          <w:rFonts w:ascii="Arial" w:cs="Arial" w:eastAsia="Arial" w:hAnsi="Arial"/>
          <w:color w:val="222222"/>
          <w:rtl w:val="0"/>
        </w:rPr>
        <w:t xml:space="preserve">1.    The above responsibilities are subject to the general duties and responsibilities contained in the </w:t>
      </w:r>
      <w:r w:rsidDel="00000000" w:rsidR="00000000" w:rsidRPr="00000000">
        <w:rPr>
          <w:rFonts w:ascii="Arial" w:cs="Arial" w:eastAsia="Arial" w:hAnsi="Arial"/>
          <w:color w:val="222222"/>
          <w:highlight w:val="white"/>
          <w:rtl w:val="0"/>
        </w:rPr>
        <w:t xml:space="preserve">Statement of Conditions of Employment</w:t>
      </w:r>
      <w:r w:rsidDel="00000000" w:rsidR="00000000" w:rsidRPr="00000000">
        <w:rPr>
          <w:rtl w:val="0"/>
        </w:rPr>
      </w:r>
    </w:p>
    <w:p w:rsidR="00000000" w:rsidDel="00000000" w:rsidP="00000000" w:rsidRDefault="00000000" w:rsidRPr="00000000" w14:paraId="00000031">
      <w:pPr>
        <w:spacing w:after="0" w:lineRule="auto"/>
        <w:ind w:left="86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2">
      <w:pPr>
        <w:spacing w:after="0" w:lineRule="auto"/>
        <w:ind w:left="86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3">
      <w:pPr>
        <w:spacing w:after="0" w:lineRule="auto"/>
        <w:ind w:left="86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4">
      <w:pPr>
        <w:spacing w:after="0" w:lineRule="auto"/>
        <w:ind w:left="860" w:hanging="360"/>
        <w:rPr>
          <w:rFonts w:ascii="Arial" w:cs="Arial" w:eastAsia="Arial" w:hAnsi="Arial"/>
          <w:b w:val="1"/>
          <w:color w:val="222222"/>
          <w:highlight w:val="white"/>
        </w:rPr>
      </w:pPr>
      <w:r w:rsidDel="00000000" w:rsidR="00000000" w:rsidRPr="00000000">
        <w:rPr>
          <w:rFonts w:ascii="Arial" w:cs="Arial" w:eastAsia="Arial" w:hAnsi="Arial"/>
          <w:color w:val="222222"/>
          <w:highlight w:val="white"/>
          <w:rtl w:val="0"/>
        </w:rPr>
        <w:t xml:space="preserve">5.</w:t>
        <w:tab/>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35">
      <w:pPr>
        <w:spacing w:after="0"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6">
      <w:pPr>
        <w:spacing w:after="0"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7.    Postholder may deal with sensitive material and should maintain confidentiality in all academy related matters.</w:t>
      </w:r>
    </w:p>
    <w:p w:rsidR="00000000" w:rsidDel="00000000" w:rsidP="00000000" w:rsidRDefault="00000000" w:rsidRPr="00000000" w14:paraId="00000037">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8">
      <w:pP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39">
      <w:pP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3A">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3B">
      <w:pPr>
        <w:spacing w:after="0" w:lineRule="auto"/>
        <w:rPr>
          <w:rFonts w:ascii="Arial" w:cs="Arial" w:eastAsia="Arial" w:hAnsi="Arial"/>
          <w:color w:val="000000"/>
        </w:rPr>
      </w:pPr>
      <w:r w:rsidDel="00000000" w:rsidR="00000000" w:rsidRPr="00000000">
        <w:rPr>
          <w:rFonts w:ascii="Arial" w:cs="Arial" w:eastAsia="Arial" w:hAnsi="Arial"/>
          <w:b w:val="1"/>
          <w:color w:val="000000"/>
          <w:u w:val="single"/>
          <w:rtl w:val="0"/>
        </w:rPr>
        <w:t xml:space="preserve">Academies Enterprise Trust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Person Specification</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rtl w:val="0"/>
        </w:rPr>
        <w:t xml:space="preserve">Job Title: Trainer /Assessor</w:t>
        <w:tab/>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bl>
      <w:tblPr>
        <w:tblStyle w:val="Table1"/>
        <w:tblW w:w="918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040"/>
        <w:gridCol w:w="1756"/>
        <w:gridCol w:w="2731"/>
        <w:gridCol w:w="2653"/>
        <w:tblGridChange w:id="0">
          <w:tblGrid>
            <w:gridCol w:w="2040"/>
            <w:gridCol w:w="1756"/>
            <w:gridCol w:w="2731"/>
            <w:gridCol w:w="2653"/>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General heading</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Detail</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Qualifications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Fonts w:ascii="Arial" w:cs="Arial" w:eastAsia="Arial" w:hAnsi="Arial"/>
                <w:rtl w:val="0"/>
              </w:rPr>
              <w:t xml:space="preserve">Qualifications required for the role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6">
            <w:pPr>
              <w:spacing w:after="0" w:line="240" w:lineRule="auto"/>
              <w:rPr/>
            </w:pPr>
            <w:r w:rsidDel="00000000" w:rsidR="00000000" w:rsidRPr="00000000">
              <w:rPr>
                <w:rFonts w:ascii="Arial" w:cs="Arial" w:eastAsia="Arial" w:hAnsi="Arial"/>
                <w:rtl w:val="0"/>
              </w:rPr>
              <w:t xml:space="preserve">Level 3 or above qualification in relevant area of work</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Fonts w:ascii="Arial" w:cs="Arial" w:eastAsia="Arial" w:hAnsi="Arial"/>
                <w:rtl w:val="0"/>
              </w:rPr>
              <w:t xml:space="preserve">D32/33, A1, TAQA/CAVA or equivalent qualification or working towards</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Fonts w:ascii="Arial" w:cs="Arial" w:eastAsia="Arial" w:hAnsi="Arial"/>
                <w:rtl w:val="0"/>
              </w:rPr>
              <w:t xml:space="preserve">Good verbal and written skills</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rtl w:val="0"/>
              </w:rPr>
              <w:t xml:space="preserve">Good IT skills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D">
            <w:pPr>
              <w:spacing w:after="0" w:line="240" w:lineRule="auto"/>
              <w:rPr/>
            </w:pPr>
            <w:r w:rsidDel="00000000" w:rsidR="00000000" w:rsidRPr="00000000">
              <w:rPr>
                <w:rFonts w:ascii="Arial" w:cs="Arial" w:eastAsia="Arial" w:hAnsi="Arial"/>
                <w:rtl w:val="0"/>
              </w:rPr>
              <w:t xml:space="preserve">Award in Education and Training or equivalent</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Relevant job related training or qualification indicating level of competence</w:t>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Knowledge/</w:t>
            </w:r>
          </w:p>
          <w:p w:rsidR="00000000" w:rsidDel="00000000" w:rsidP="00000000" w:rsidRDefault="00000000" w:rsidRPr="00000000" w14:paraId="0000005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Experience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Fonts w:ascii="Arial" w:cs="Arial" w:eastAsia="Arial" w:hAnsi="Arial"/>
                <w:rtl w:val="0"/>
              </w:rPr>
              <w:t xml:space="preserve">experience required for the role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7">
            <w:pPr>
              <w:spacing w:after="0" w:line="240" w:lineRule="auto"/>
              <w:rPr/>
            </w:pPr>
            <w:r w:rsidDel="00000000" w:rsidR="00000000" w:rsidRPr="00000000">
              <w:rPr>
                <w:rFonts w:ascii="Arial" w:cs="Arial" w:eastAsia="Arial" w:hAnsi="Arial"/>
                <w:rtl w:val="0"/>
              </w:rPr>
              <w:t xml:space="preserve">Proven track record of meeting targets</w:t>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Fonts w:ascii="Arial" w:cs="Arial" w:eastAsia="Arial" w:hAnsi="Arial"/>
                <w:rtl w:val="0"/>
              </w:rPr>
              <w:t xml:space="preserve">Experience of working within relevant  industry, commerce or service industries</w:t>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Fonts w:ascii="Arial" w:cs="Arial" w:eastAsia="Arial" w:hAnsi="Arial"/>
                <w:rtl w:val="0"/>
              </w:rPr>
              <w:t xml:space="preserve">Understanding of apprenticeship standards, end point assessment and awarding organisation processes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C">
            <w:pPr>
              <w:spacing w:after="0" w:line="240" w:lineRule="auto"/>
              <w:rPr/>
            </w:pPr>
            <w:r w:rsidDel="00000000" w:rsidR="00000000" w:rsidRPr="00000000">
              <w:rPr>
                <w:rFonts w:ascii="Arial" w:cs="Arial" w:eastAsia="Arial" w:hAnsi="Arial"/>
                <w:rtl w:val="0"/>
              </w:rPr>
              <w:t xml:space="preserve">Experience within an Assessor role</w:t>
            </w: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rtl w:val="0"/>
              </w:rPr>
              <w:t xml:space="preserve">Experience of working in the training / education sector</w:t>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rtl w:val="0"/>
              </w:rPr>
              <w:t xml:space="preserve">Experience of using Smart Assessor or a similar e-portfolio system</w:t>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rtl w:val="0"/>
              </w:rPr>
              <w:t xml:space="preserve">Experience of delivering Standards and working towards End Point Assessment</w:t>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Personal Characteristics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rtl w:val="0"/>
              </w:rPr>
              <w:t xml:space="preserve">Behaviours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5">
            <w:pPr>
              <w:spacing w:after="0" w:line="240" w:lineRule="auto"/>
              <w:rPr/>
            </w:pPr>
            <w:r w:rsidDel="00000000" w:rsidR="00000000" w:rsidRPr="00000000">
              <w:rPr>
                <w:rFonts w:ascii="Arial" w:cs="Arial" w:eastAsia="Arial" w:hAnsi="Arial"/>
                <w:rtl w:val="0"/>
              </w:rPr>
              <w:t xml:space="preserve">Excellent communication skills and the ability to relate to a wide range of people</w:t>
            </w: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Fonts w:ascii="Arial" w:cs="Arial" w:eastAsia="Arial" w:hAnsi="Arial"/>
                <w:rtl w:val="0"/>
              </w:rPr>
              <w:t xml:space="preserve">Ability to manage a constant workload with conflicting demands to achieve timely targets</w:t>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Fonts w:ascii="Arial" w:cs="Arial" w:eastAsia="Arial" w:hAnsi="Arial"/>
                <w:rtl w:val="0"/>
              </w:rPr>
              <w:t xml:space="preserve">Ability to work effectively as part of a team</w:t>
            </w: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Fonts w:ascii="Arial" w:cs="Arial" w:eastAsia="Arial" w:hAnsi="Arial"/>
                <w:rtl w:val="0"/>
              </w:rPr>
              <w:t xml:space="preserve">Commitment to quality of service</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Fonts w:ascii="Arial" w:cs="Arial" w:eastAsia="Arial" w:hAnsi="Arial"/>
                <w:rtl w:val="0"/>
              </w:rPr>
              <w:t xml:space="preserve">An ability to influence and motivate learners</w:t>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An enthusiastic approach within a target orientated environment</w:t>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Flexible attitude</w:t>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Commitment to high professional and personal standards of work and of conduct</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3">
            <w:pPr>
              <w:spacing w:after="0" w:line="240" w:lineRule="auto"/>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4">
            <w:pPr>
              <w:spacing w:after="0" w:line="240" w:lineRule="auto"/>
              <w:rPr>
                <w:rFonts w:ascii="Arial" w:cs="Arial" w:eastAsia="Arial" w:hAnsi="Arial"/>
                <w:b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6">
            <w:pPr>
              <w:spacing w:after="0" w:line="240" w:lineRule="auto"/>
              <w:rPr>
                <w:rFonts w:ascii="Arial" w:cs="Arial" w:eastAsia="Arial" w:hAnsi="Arial"/>
                <w:color w:val="000000"/>
              </w:rPr>
            </w:pPr>
            <w:bookmarkStart w:colFirst="0" w:colLast="0" w:name="_1fob9te" w:id="2"/>
            <w:bookmarkEnd w:id="2"/>
            <w:r w:rsidDel="00000000" w:rsidR="00000000" w:rsidRPr="00000000">
              <w:rPr>
                <w:rFonts w:ascii="Arial" w:cs="Arial" w:eastAsia="Arial" w:hAnsi="Arial"/>
                <w:color w:val="000000"/>
                <w:rtl w:val="0"/>
              </w:rPr>
              <w:t xml:space="preserve">Ability to demonstrate, understand and apply our values:</w:t>
            </w:r>
          </w:p>
          <w:p w:rsidR="00000000" w:rsidDel="00000000" w:rsidP="00000000" w:rsidRDefault="00000000" w:rsidRPr="00000000" w14:paraId="00000077">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unusually brave</w:t>
            </w:r>
          </w:p>
          <w:p w:rsidR="00000000" w:rsidDel="00000000" w:rsidP="00000000" w:rsidRDefault="00000000" w:rsidRPr="00000000" w14:paraId="00000078">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Discover what’s possible</w:t>
            </w:r>
          </w:p>
          <w:p w:rsidR="00000000" w:rsidDel="00000000" w:rsidP="00000000" w:rsidRDefault="00000000" w:rsidRPr="00000000" w14:paraId="00000079">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Push the limits</w:t>
            </w:r>
          </w:p>
          <w:p w:rsidR="00000000" w:rsidDel="00000000" w:rsidP="00000000" w:rsidRDefault="00000000" w:rsidRPr="00000000" w14:paraId="0000007A">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big hearted </w:t>
            </w:r>
          </w:p>
          <w:p w:rsidR="00000000" w:rsidDel="00000000" w:rsidP="00000000" w:rsidRDefault="00000000" w:rsidRPr="00000000" w14:paraId="0000007B">
            <w:pPr>
              <w:spacing w:after="0" w:line="240" w:lineRule="auto"/>
              <w:ind w:left="720"/>
              <w:rPr>
                <w:rFonts w:ascii="Arial" w:cs="Arial" w:eastAsia="Arial" w:hAnsi="Arial"/>
                <w:color w:val="00000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Special Requirements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Fonts w:ascii="Arial" w:cs="Arial" w:eastAsia="Arial" w:hAnsi="Arial"/>
                <w:rtl w:val="0"/>
              </w:rPr>
              <w:t xml:space="preserve">Successful candidate will be subject to an enhanced Disclosure and Barring Service Check</w:t>
            </w:r>
          </w:p>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Fonts w:ascii="Arial" w:cs="Arial" w:eastAsia="Arial" w:hAnsi="Arial"/>
                <w:rtl w:val="0"/>
              </w:rPr>
              <w:t xml:space="preserve">Evidence of a commitment to promoting the welfare and safeguarding of children and young people</w:t>
            </w:r>
          </w:p>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Ability to travel as required</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sectPr>
      <w:headerReference r:id="rId6" w:type="default"/>
      <w:pgSz w:h="16838" w:w="11906"/>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-114296</wp:posOffset>
          </wp:positionH>
          <wp:positionV relativeFrom="paragraph">
            <wp:posOffset>76203</wp:posOffset>
          </wp:positionV>
          <wp:extent cx="3206318" cy="9001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6318" cy="900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