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2268"/>
          <w:tab w:val="left" w:pos="2552"/>
        </w:tabs>
        <w:contextualSpacing w:val="0"/>
        <w:rPr>
          <w:rFonts w:ascii="Calibri" w:cs="Calibri" w:eastAsia="Calibri" w:hAnsi="Calibri"/>
          <w:sz w:val="22"/>
          <w:szCs w:val="22"/>
        </w:rPr>
      </w:pPr>
      <w:r w:rsidDel="00000000" w:rsidR="00000000" w:rsidRPr="00000000">
        <w:rPr>
          <w:rtl w:val="0"/>
        </w:rPr>
      </w:r>
    </w:p>
    <w:tbl>
      <w:tblPr>
        <w:tblStyle w:val="Table1"/>
        <w:tblW w:w="10095.0" w:type="dxa"/>
        <w:jc w:val="left"/>
        <w:tblInd w:w="-11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540"/>
        <w:gridCol w:w="1695"/>
        <w:gridCol w:w="7860"/>
        <w:tblGridChange w:id="0">
          <w:tblGrid>
            <w:gridCol w:w="540"/>
            <w:gridCol w:w="1695"/>
            <w:gridCol w:w="7860"/>
          </w:tblGrid>
        </w:tblGridChange>
      </w:tblGrid>
      <w:tr>
        <w:trPr>
          <w:trHeight w:val="500" w:hRule="atLeast"/>
        </w:trPr>
        <w:tc>
          <w:tcPr>
            <w:gridSpan w:val="2"/>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Learning Support Assistant (LSA)</w:t>
            </w:r>
          </w:p>
        </w:tc>
      </w:tr>
      <w:tr>
        <w:trPr>
          <w:trHeight w:val="500" w:hRule="atLeast"/>
        </w:trPr>
        <w:tc>
          <w:tcPr>
            <w:gridSpan w:val="2"/>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w:t>
            </w:r>
          </w:p>
        </w:tc>
        <w:tc>
          <w:tcPr>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r>
      <w:tr>
        <w:trPr>
          <w:trHeight w:val="500" w:hRule="atLeast"/>
        </w:trPr>
        <w:tc>
          <w:tcPr>
            <w:gridSpan w:val="2"/>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Responsible To:</w:t>
            </w:r>
          </w:p>
        </w:tc>
        <w:tc>
          <w:tcPr>
            <w:vAlign w:val="cente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 Co-ordinator (SENCo)</w:t>
            </w:r>
          </w:p>
        </w:tc>
      </w:tr>
      <w:tr>
        <w:tc>
          <w:tcPr>
            <w:gridSpan w:val="2"/>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Key Relationships/</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Liaison with:</w:t>
            </w:r>
          </w:p>
        </w:tc>
        <w:tc>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Other classroom support staff, SENC0</w:t>
            </w:r>
          </w:p>
        </w:tc>
      </w:tr>
      <w:tr>
        <w:tc>
          <w:tcPr>
            <w:gridSpan w:val="2"/>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Purpose:</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LSA will work under the direct supervision of a teacher to provide support for teaching and learning and associated activities in accordance with school policies and procedures.  This may include providing general support for whole class learning activities, or supporting individuals or small groups of pupils.</w:t>
            </w:r>
          </w:p>
        </w:tc>
      </w:tr>
      <w:tr>
        <w:tc>
          <w:tcPr>
            <w:gridSpan w:val="2"/>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Occupational Standards:</w:t>
            </w:r>
          </w:p>
        </w:tc>
        <w:tc>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Teaching and Learning (STL) Level 2</w:t>
            </w:r>
          </w:p>
        </w:tc>
      </w:tr>
      <w:tr>
        <w:tc>
          <w:tcPr>
            <w:gridSpan w:val="3"/>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MAIN DUTIES AND RESPONSIBILITIES:</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agreed support to the teacher in the delivery of planned whole class learning activities.</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under the direct supervision of a teacher to carry out planned learning activities with small groups or individual students, providing feedback on their engagement in activities and their achievement of the desired learning objectives. </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help prepare, monitor and maintain a safe and secure learning environment in line with the teacher’s lesson plans. </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observe and feed back to the teacher on student performance and behaviour, taking action as appropriate in line with relevant school policies. </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the physical, intellectual, emotional and social development of students, including contributing ideas and suggestions to support planning, to meet their development needs. </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interact with and respond positively to children, young people and adults. </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develop positive relationships with colleagues, providing consistent and effective support and working constructively as a member of the school staff team. </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students to improve their numeracy and literacy skills through focussed learning activities and more generally across the curriculum. </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prepare and utilise ICT resources to support pupils learning.</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prepare and support the use of learning materials and create visual displays, in accordance with the requirements of the teacher, in order to facilitate a relevant physical learning environment. </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care and encouragement to children and young people with disabilities or special educational needs, supporting them to participate in activities and liaising, if required, with parents / carers / other professionals as appropriate.</w:t>
            </w:r>
          </w:p>
        </w:tc>
      </w:tr>
    </w:tbl>
    <w:p w:rsidR="00000000" w:rsidDel="00000000" w:rsidP="00000000" w:rsidRDefault="00000000" w:rsidRPr="00000000">
      <w:pPr>
        <w:contextualSpacing w:val="0"/>
        <w:rPr>
          <w:rFonts w:ascii="Calibri" w:cs="Calibri" w:eastAsia="Calibri" w:hAnsi="Calibri"/>
          <w:sz w:val="22"/>
          <w:szCs w:val="22"/>
        </w:rPr>
        <w:sectPr>
          <w:headerReference r:id="rId5" w:type="first"/>
          <w:footerReference r:id="rId6" w:type="default"/>
          <w:footerReference r:id="rId7" w:type="first"/>
          <w:pgSz w:h="16838" w:w="11906"/>
          <w:pgMar w:bottom="805" w:top="426" w:left="1077" w:right="1077" w:header="0"/>
          <w:pgNumType w:start="1"/>
          <w:titlePg w:val="1"/>
        </w:sect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rPr>
      </w:pPr>
      <w:r w:rsidDel="00000000" w:rsidR="00000000" w:rsidRPr="00000000">
        <w:rPr>
          <w:rtl w:val="0"/>
        </w:rPr>
      </w:r>
    </w:p>
    <w:tbl>
      <w:tblPr>
        <w:tblStyle w:val="Table2"/>
        <w:tblW w:w="10095.0" w:type="dxa"/>
        <w:jc w:val="left"/>
        <w:tblInd w:w="-11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540"/>
        <w:gridCol w:w="135"/>
        <w:gridCol w:w="9420"/>
        <w:tblGridChange w:id="0">
          <w:tblGrid>
            <w:gridCol w:w="540"/>
            <w:gridCol w:w="135"/>
            <w:gridCol w:w="9420"/>
          </w:tblGrid>
        </w:tblGridChange>
      </w:tblGrid>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contribute to the provision of support for bilingual / multilingual pupils if required. </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invigilate internal and external tests and examinations under formal conditions. </w:t>
            </w:r>
          </w:p>
        </w:tc>
      </w:tr>
      <w:tr>
        <w:tc>
          <w:tcPr>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gridSpan w:val="2"/>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encourage participation in structured and unstructured learning activities, including play (timetabled and during breaks if required). (Primary and Special schools) </w:t>
            </w:r>
          </w:p>
        </w:tc>
      </w:tr>
      <w:tr>
        <w:tc>
          <w:tcPr>
            <w:gridSpan w:val="3"/>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Optional extra responsibilities not affecting the grade of the post:</w:t>
            </w:r>
            <w:r w:rsidDel="00000000" w:rsidR="00000000" w:rsidRPr="00000000">
              <w:rPr>
                <w:rtl w:val="0"/>
              </w:rPr>
            </w:r>
          </w:p>
        </w:tc>
      </w:tr>
      <w:tr>
        <w:tc>
          <w:tcPr>
            <w:gridSpan w:val="2"/>
            <w:tcMar>
              <w:top w:w="170.0" w:type="dxa"/>
            </w:tcMar>
          </w:tcPr>
          <w:p w:rsidR="00000000" w:rsidDel="00000000" w:rsidP="00000000" w:rsidRDefault="00000000" w:rsidRPr="00000000">
            <w:pPr>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15.</w:t>
            </w:r>
          </w:p>
        </w:tc>
        <w:tc>
          <w:tcPr>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undertake midday supervision duties.</w:t>
            </w:r>
          </w:p>
        </w:tc>
      </w:tr>
      <w:tr>
        <w:tc>
          <w:tcPr>
            <w:gridSpan w:val="2"/>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toileting support to pupils as necessary.*</w:t>
            </w:r>
          </w:p>
        </w:tc>
      </w:tr>
      <w:tr>
        <w:tc>
          <w:tcPr>
            <w:gridSpan w:val="2"/>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c>
          <w:tcPr>
            <w:shd w:fill="ffffff"/>
            <w:tcMar>
              <w:top w:w="17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as appropriate, in instances where pupils are unwell whilst at the school/college.*</w:t>
            </w:r>
          </w:p>
        </w:tc>
      </w:tr>
    </w:tbl>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these duties only to be included by negotiation with individual employees, and after appropriate risk assessment and training have been undertaken.</w:t>
      </w:r>
    </w:p>
    <w:p w:rsidR="00000000" w:rsidDel="00000000" w:rsidP="00000000" w:rsidRDefault="00000000" w:rsidRPr="00000000">
      <w:pPr>
        <w:ind w:left="360" w:firstLine="0"/>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SPECIAL FACTORS:</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Subject to the duration of the need, the special conditions given below apply :</w:t>
      </w:r>
    </w:p>
    <w:p w:rsidR="00000000" w:rsidDel="00000000" w:rsidP="00000000" w:rsidRDefault="00000000" w:rsidRPr="00000000">
      <w:pPr>
        <w:numPr>
          <w:ilvl w:val="0"/>
          <w:numId w:val="1"/>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The nature of the post may involve the carrying out of outside of normal working hours.</w:t>
      </w:r>
    </w:p>
    <w:p w:rsidR="00000000" w:rsidDel="00000000" w:rsidP="00000000" w:rsidRDefault="00000000" w:rsidRPr="00000000">
      <w:pPr>
        <w:numPr>
          <w:ilvl w:val="0"/>
          <w:numId w:val="1"/>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The postholder may be required to attend, from time to time, training courses, conferences, seminars or other meetings as required by his/her own training needs and the needs of the college.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contextualSpacing w:val="0"/>
        <w:jc w:val="both"/>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Expenses will be paid in accordance with the Local Conditions of Service.</w:t>
      </w:r>
    </w:p>
    <w:p w:rsidR="00000000" w:rsidDel="00000000" w:rsidP="00000000" w:rsidRDefault="00000000" w:rsidRPr="00000000">
      <w:pPr>
        <w:numPr>
          <w:ilvl w:val="0"/>
          <w:numId w:val="2"/>
        </w:numPr>
        <w:tabs>
          <w:tab w:val="left" w:pos="720"/>
          <w:tab w:val="left" w:pos="3600"/>
        </w:tabs>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This post is subject to a check being carried out at an Enhanced level by the Disclosure and Barring Service regarding any previous criminal record.</w:t>
      </w:r>
    </w:p>
    <w:p w:rsidR="00000000" w:rsidDel="00000000" w:rsidP="00000000" w:rsidRDefault="00000000" w:rsidRPr="00000000">
      <w:pPr>
        <w:tabs>
          <w:tab w:val="left" w:pos="720"/>
          <w:tab w:val="left" w:pos="3600"/>
        </w:tabs>
        <w:ind w:left="1440" w:hanging="72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tabs>
          <w:tab w:val="left" w:pos="2268"/>
          <w:tab w:val="left" w:pos="2552"/>
        </w:tabs>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WHOLE COLLEGE RESPONSIBILITIES:</w:t>
      </w:r>
    </w:p>
    <w:p w:rsidR="00000000" w:rsidDel="00000000" w:rsidP="00000000" w:rsidRDefault="00000000" w:rsidRPr="00000000">
      <w:pPr>
        <w:numPr>
          <w:ilvl w:val="0"/>
          <w:numId w:val="3"/>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Support current policies and recognised good practice within the college.</w:t>
      </w:r>
    </w:p>
    <w:p w:rsidR="00000000" w:rsidDel="00000000" w:rsidP="00000000" w:rsidRDefault="00000000" w:rsidRPr="00000000">
      <w:pPr>
        <w:numPr>
          <w:ilvl w:val="0"/>
          <w:numId w:val="3"/>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Be aware of the importance of confidentiality and data protection.</w:t>
      </w:r>
    </w:p>
    <w:p w:rsidR="00000000" w:rsidDel="00000000" w:rsidP="00000000" w:rsidRDefault="00000000" w:rsidRPr="00000000">
      <w:pPr>
        <w:numPr>
          <w:ilvl w:val="0"/>
          <w:numId w:val="3"/>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Participate in annual Performance Management review with Line Manager, based on agreed objectives, ideally one of which should be linked to the college improvement plan where possible.</w:t>
      </w:r>
    </w:p>
    <w:p w:rsidR="00000000" w:rsidDel="00000000" w:rsidP="00000000" w:rsidRDefault="00000000" w:rsidRPr="00000000">
      <w:pPr>
        <w:numPr>
          <w:ilvl w:val="0"/>
          <w:numId w:val="3"/>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To work as part of a team, to act as a contact in providing basic emergency first aid, if training is provided.</w:t>
      </w:r>
    </w:p>
    <w:p w:rsidR="00000000" w:rsidDel="00000000" w:rsidP="00000000" w:rsidRDefault="00000000" w:rsidRPr="00000000">
      <w:pPr>
        <w:numPr>
          <w:ilvl w:val="0"/>
          <w:numId w:val="3"/>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Willingness to be flexible in both approach &amp; use of time.</w:t>
      </w:r>
    </w:p>
    <w:p w:rsidR="00000000" w:rsidDel="00000000" w:rsidP="00000000" w:rsidRDefault="00000000" w:rsidRPr="00000000">
      <w:pPr>
        <w:numPr>
          <w:ilvl w:val="0"/>
          <w:numId w:val="3"/>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All tasks should be undertaken with due regard to Health &amp; Safety Regulations.</w:t>
      </w:r>
    </w:p>
    <w:p w:rsidR="00000000" w:rsidDel="00000000" w:rsidP="00000000" w:rsidRDefault="00000000" w:rsidRPr="00000000">
      <w:pPr>
        <w:numPr>
          <w:ilvl w:val="0"/>
          <w:numId w:val="3"/>
        </w:numPr>
        <w:ind w:left="720" w:hanging="360"/>
        <w:contextualSpacing w:val="0"/>
        <w:jc w:val="both"/>
        <w:rPr>
          <w:b w:val="1"/>
          <w:sz w:val="22"/>
          <w:szCs w:val="22"/>
        </w:rPr>
      </w:pPr>
      <w:r w:rsidDel="00000000" w:rsidR="00000000" w:rsidRPr="00000000">
        <w:rPr>
          <w:rFonts w:ascii="Calibri" w:cs="Calibri" w:eastAsia="Calibri" w:hAnsi="Calibri"/>
          <w:sz w:val="22"/>
          <w:szCs w:val="22"/>
          <w:rtl w:val="0"/>
        </w:rPr>
        <w:t xml:space="preserve">To undertake such other duties which are within the scope of the job purpose, title of the job and it’s grade.</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This post is subject to enhanced disclosure from the </w:t>
      </w:r>
      <w:r w:rsidDel="00000000" w:rsidR="00000000" w:rsidRPr="00000000">
        <w:rPr>
          <w:rFonts w:ascii="Calibri" w:cs="Calibri" w:eastAsia="Calibri" w:hAnsi="Calibri"/>
          <w:sz w:val="22"/>
          <w:szCs w:val="22"/>
          <w:rtl w:val="0"/>
        </w:rPr>
        <w:t xml:space="preserve">Disclosure and Barring Service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sz w:val="22"/>
          <w:szCs w:val="22"/>
          <w:rtl w:val="0"/>
        </w:rPr>
        <w:t xml:space="preserve">All Brookvale Groby Learning Campus employees are expected to promote and safeguard the welfare of students at this school.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68"/>
          <w:tab w:val="left" w:pos="2552"/>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The Governing Body and the County Council are seeking to promote the employment of people with disabilities and will make any adjustments considered reasonable to the above duties under the terms of the Equality Act 2010 to accommodate a suitable candidate with a disability.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This Job Description sets out the responsibilities of the post at the time it was drawn up. Such responsibilities may vary from time to time without changing the general character and requirements of the post or the level of responsibility entailed.  Variations are a common occurrence and do not necessarily constitute additional responsibilities or warrant a higher grade.</w:t>
      </w:r>
    </w:p>
    <w:p w:rsidR="00000000" w:rsidDel="00000000" w:rsidP="00000000" w:rsidRDefault="00000000" w:rsidRPr="00000000">
      <w:pPr>
        <w:tabs>
          <w:tab w:val="left" w:pos="2268"/>
          <w:tab w:val="left" w:pos="2552"/>
        </w:tabs>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sectPr>
      <w:type w:val="continuous"/>
      <w:pgSz w:h="16838" w:w="11906"/>
      <w:pgMar w:bottom="805" w:top="426" w:left="1077" w:right="1077"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357" w:before="0" w:line="240" w:lineRule="auto"/>
      <w:ind w:left="0" w:right="0" w:firstLine="0"/>
      <w:contextualSpacing w:val="0"/>
      <w:jc w:val="center"/>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of 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357"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ab/>
    </w:r>
    <w:r w:rsidDel="00000000" w:rsidR="00000000" w:rsidRPr="00000000">
      <w:rPr>
        <w:rFonts w:ascii="Arial" w:cs="Arial" w:eastAsia="Arial" w:hAnsi="Arial"/>
        <w:b w:val="0"/>
        <w:i w:val="0"/>
        <w:smallCaps w:val="0"/>
        <w:strike w:val="0"/>
        <w:color w:val="000000"/>
        <w:sz w:val="16"/>
        <w:szCs w:val="16"/>
        <w:u w:val="none"/>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of 2</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680"/>
        <w:tab w:val="right" w:pos="9360"/>
      </w:tabs>
      <w:spacing w:before="142" w:lineRule="auto"/>
      <w:ind w:left="-5.999999999999872" w:right="-560.9999999999997" w:hanging="420"/>
      <w:contextualSpacing w:val="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drawing>
        <wp:inline distB="0" distT="0" distL="0" distR="0">
          <wp:extent cx="6597968" cy="112928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597968" cy="1129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rFonts w:ascii="Arial" w:cs="Arial" w:eastAsia="Arial" w:hAnsi="Arial"/>
      <w:b w:val="1"/>
      <w:sz w:val="24"/>
      <w:szCs w:val="24"/>
      <w:u w:val="single"/>
    </w:rPr>
  </w:style>
  <w:style w:type="paragraph" w:styleId="Heading3">
    <w:name w:val="heading 3"/>
    <w:basedOn w:val="Normal"/>
    <w:next w:val="Normal"/>
    <w:pPr>
      <w:keepNext w:val="1"/>
      <w:keepLines w:val="1"/>
      <w:spacing w:after="80" w:before="280" w:lineRule="auto"/>
    </w:pPr>
    <w:rPr>
      <w:rFonts w:ascii="Arial" w:cs="Arial" w:eastAsia="Arial" w:hAnsi="Arial"/>
      <w:b w:val="1"/>
      <w:sz w:val="24"/>
      <w:szCs w:val="24"/>
      <w:u w:val="single"/>
    </w:rPr>
  </w:style>
  <w:style w:type="paragraph" w:styleId="Heading4">
    <w:name w:val="heading 4"/>
    <w:basedOn w:val="Normal"/>
    <w:next w:val="Normal"/>
    <w:pPr>
      <w:keepNext w:val="1"/>
      <w:keepLines w:val="1"/>
      <w:spacing w:after="40" w:before="240" w:lineRule="auto"/>
      <w:ind w:firstLine="720"/>
    </w:pPr>
    <w:rPr>
      <w:rFonts w:ascii="Arial" w:cs="Arial" w:eastAsia="Arial" w:hAnsi="Arial"/>
      <w:b w:val="1"/>
      <w:sz w:val="28"/>
      <w:szCs w:val="28"/>
    </w:rPr>
  </w:style>
  <w:style w:type="paragraph" w:styleId="Heading5">
    <w:name w:val="heading 5"/>
    <w:basedOn w:val="Normal"/>
    <w:next w:val="Normal"/>
    <w:pPr>
      <w:keepNext w:val="1"/>
      <w:keepLines w:val="1"/>
      <w:spacing w:after="40" w:before="220" w:lineRule="auto"/>
    </w:pPr>
    <w:rPr>
      <w:rFonts w:ascii="Arial" w:cs="Arial" w:eastAsia="Arial" w:hAnsi="Arial"/>
      <w:b w:val="1"/>
      <w:sz w:val="28"/>
      <w:szCs w:val="28"/>
      <w:u w:val="single"/>
    </w:rPr>
  </w:style>
  <w:style w:type="paragraph" w:styleId="Heading6">
    <w:name w:val="heading 6"/>
    <w:basedOn w:val="Normal"/>
    <w:next w:val="Normal"/>
    <w:pPr>
      <w:keepNext w:val="1"/>
      <w:keepLines w:val="1"/>
      <w:spacing w:after="40" w:before="200" w:lineRule="auto"/>
      <w:ind w:left="720" w:hanging="720"/>
    </w:pPr>
    <w:rPr>
      <w:rFonts w:ascii="Arial" w:cs="Arial" w:eastAsia="Arial" w:hAnsi="Arial"/>
      <w:b w:val="1"/>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28.0" w:type="dxa"/>
        <w:left w:w="115.0" w:type="dxa"/>
        <w:bottom w:w="2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