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Arial" w:hAnsi="Arial"/>
          <w:b/>
          <w:bCs/>
          <w:color w:val="000000"/>
        </w:rPr>
      </w:pPr>
      <w:bookmarkStart w:id="0" w:name="_GoBack"/>
      <w:bookmarkEnd w:id="0"/>
    </w:p>
    <w:p>
      <w:pPr>
        <w:rPr>
          <w:rFonts w:ascii="Arial" w:hAnsi="Arial"/>
          <w:b/>
          <w:bCs/>
          <w:color w:val="000000"/>
        </w:rPr>
      </w:pPr>
    </w:p>
    <w:p>
      <w:pPr>
        <w:rPr>
          <w:rFonts w:ascii="Arial" w:hAnsi="Arial"/>
          <w:color w:val="000000"/>
        </w:rPr>
      </w:pPr>
      <w:r>
        <w:rPr>
          <w:rFonts w:ascii="Arial" w:hAnsi="Arial"/>
          <w:b/>
          <w:bCs/>
          <w:color w:val="000000"/>
        </w:rPr>
        <w:t>Job Title:</w:t>
      </w:r>
      <w:r>
        <w:rPr>
          <w:rFonts w:ascii="Arial" w:hAnsi="Arial"/>
          <w:color w:val="000000"/>
        </w:rPr>
        <w:tab/>
      </w:r>
      <w:r>
        <w:rPr>
          <w:rFonts w:ascii="Arial" w:hAnsi="Arial"/>
          <w:color w:val="000000"/>
        </w:rPr>
        <w:tab/>
        <w:t>Teacher of Technology</w:t>
      </w:r>
    </w:p>
    <w:p>
      <w:pPr>
        <w:rPr>
          <w:rFonts w:ascii="Arial" w:hAnsi="Arial"/>
          <w:color w:val="000000"/>
        </w:rPr>
      </w:pPr>
      <w:r>
        <w:rPr>
          <w:rFonts w:ascii="Arial" w:hAnsi="Arial"/>
          <w:b/>
          <w:bCs/>
          <w:color w:val="000000"/>
        </w:rPr>
        <w:t>Responsible to:</w:t>
      </w:r>
      <w:r>
        <w:rPr>
          <w:rFonts w:ascii="Arial" w:hAnsi="Arial"/>
          <w:b/>
          <w:bCs/>
          <w:color w:val="000000"/>
        </w:rPr>
        <w:tab/>
      </w:r>
      <w:r>
        <w:rPr>
          <w:rFonts w:ascii="Arial" w:hAnsi="Arial"/>
          <w:color w:val="000000"/>
        </w:rPr>
        <w:t>Head of Subject/Faculty</w:t>
      </w:r>
    </w:p>
    <w:p>
      <w:pPr>
        <w:rPr>
          <w:rFonts w:ascii="Arial" w:hAnsi="Arial"/>
          <w:color w:val="000000"/>
        </w:rPr>
      </w:pPr>
    </w:p>
    <w:p>
      <w:pPr>
        <w:rPr>
          <w:rFonts w:ascii="Arial" w:hAnsi="Arial"/>
          <w:b/>
          <w:bCs/>
          <w:color w:val="000000"/>
        </w:rPr>
      </w:pPr>
      <w:r>
        <w:rPr>
          <w:rFonts w:ascii="Arial" w:hAnsi="Arial"/>
          <w:b/>
          <w:bCs/>
          <w:color w:val="000000"/>
        </w:rPr>
        <w:t>OVERALL RESPONSIBILITY</w:t>
      </w:r>
    </w:p>
    <w:p>
      <w:pPr>
        <w:rPr>
          <w:rFonts w:ascii="Arial" w:hAnsi="Arial"/>
          <w:b/>
          <w:bCs/>
          <w:color w:val="000000"/>
        </w:rPr>
      </w:pPr>
    </w:p>
    <w:p>
      <w:pPr>
        <w:numPr>
          <w:ilvl w:val="0"/>
          <w:numId w:val="5"/>
        </w:numPr>
        <w:rPr>
          <w:rFonts w:ascii="Arial" w:hAnsi="Arial"/>
          <w:color w:val="000000"/>
        </w:rPr>
      </w:pPr>
      <w:r>
        <w:rPr>
          <w:rFonts w:ascii="Arial" w:hAnsi="Arial"/>
          <w:color w:val="000000"/>
        </w:rPr>
        <w:t>To plan and develop high quality lessons and courses, using a variety of approaches, to continually enhance teaching and learning.</w:t>
      </w:r>
    </w:p>
    <w:p>
      <w:pPr>
        <w:numPr>
          <w:ilvl w:val="0"/>
          <w:numId w:val="4"/>
        </w:numPr>
        <w:rPr>
          <w:rFonts w:ascii="Arial" w:hAnsi="Arial"/>
          <w:b/>
          <w:bCs/>
          <w:color w:val="000000"/>
        </w:rPr>
      </w:pPr>
      <w:r>
        <w:rPr>
          <w:rFonts w:ascii="Arial" w:hAnsi="Arial"/>
          <w:color w:val="000000"/>
        </w:rPr>
        <w:t>To maintain and build upon the standards achieved in the award for QTS (Secondary) as set out by the Secretary of State.</w:t>
      </w:r>
    </w:p>
    <w:p>
      <w:pPr>
        <w:rPr>
          <w:rFonts w:ascii="Arial" w:hAnsi="Arial"/>
          <w:b/>
          <w:bCs/>
          <w:color w:val="000000"/>
        </w:rPr>
      </w:pPr>
    </w:p>
    <w:p>
      <w:pPr>
        <w:rPr>
          <w:rFonts w:ascii="Arial" w:hAnsi="Arial"/>
          <w:b/>
          <w:bCs/>
          <w:color w:val="000000"/>
        </w:rPr>
      </w:pPr>
      <w:r>
        <w:rPr>
          <w:rFonts w:ascii="Arial" w:hAnsi="Arial"/>
          <w:b/>
          <w:bCs/>
          <w:color w:val="000000"/>
        </w:rPr>
        <w:t>SECTION 1 - GENERAL TEACHING DUTIES</w:t>
      </w:r>
    </w:p>
    <w:p>
      <w:pPr>
        <w:rPr>
          <w:rFonts w:ascii="Arial" w:hAnsi="Arial"/>
          <w:color w:val="000000"/>
        </w:rPr>
      </w:pPr>
    </w:p>
    <w:p>
      <w:pPr>
        <w:rPr>
          <w:rFonts w:ascii="Arial" w:hAnsi="Arial"/>
          <w:b/>
          <w:bCs/>
          <w:color w:val="000000"/>
        </w:rPr>
      </w:pPr>
      <w:r>
        <w:rPr>
          <w:rFonts w:ascii="Arial" w:hAnsi="Arial"/>
          <w:b/>
          <w:bCs/>
          <w:color w:val="000000"/>
        </w:rPr>
        <w:t>Teaching and Learning</w:t>
      </w:r>
    </w:p>
    <w:p>
      <w:pPr>
        <w:rPr>
          <w:rFonts w:ascii="Arial" w:hAnsi="Arial"/>
          <w:b/>
          <w:bCs/>
          <w:color w:val="000000"/>
        </w:rPr>
      </w:pPr>
    </w:p>
    <w:p>
      <w:pPr>
        <w:numPr>
          <w:ilvl w:val="0"/>
          <w:numId w:val="1"/>
        </w:numPr>
        <w:tabs>
          <w:tab w:val="clear" w:pos="720"/>
        </w:tabs>
        <w:rPr>
          <w:rFonts w:ascii="Arial" w:hAnsi="Arial"/>
          <w:color w:val="000000"/>
        </w:rPr>
      </w:pPr>
      <w:r>
        <w:rPr>
          <w:rFonts w:ascii="Arial" w:hAnsi="Arial"/>
          <w:color w:val="000000"/>
        </w:rPr>
        <w:t>Manage pupil learning through effective teaching in accordance with the Faculty’s schemes of work and policies.</w:t>
      </w:r>
    </w:p>
    <w:p>
      <w:pPr>
        <w:pStyle w:val="BodyTextIndent2"/>
        <w:numPr>
          <w:ilvl w:val="0"/>
          <w:numId w:val="1"/>
        </w:numPr>
        <w:tabs>
          <w:tab w:val="clear" w:pos="720"/>
        </w:tabs>
        <w:rPr>
          <w:rFonts w:ascii="Arial" w:hAnsi="Arial"/>
          <w:color w:val="000000"/>
        </w:rPr>
      </w:pPr>
      <w:r>
        <w:rPr>
          <w:rFonts w:ascii="Arial" w:hAnsi="Arial"/>
          <w:color w:val="000000"/>
        </w:rPr>
        <w:t>Ensure continuity, progression and cohesiveness in all teaching.</w:t>
      </w:r>
    </w:p>
    <w:p>
      <w:pPr>
        <w:numPr>
          <w:ilvl w:val="0"/>
          <w:numId w:val="1"/>
        </w:numPr>
        <w:tabs>
          <w:tab w:val="clear" w:pos="720"/>
        </w:tabs>
        <w:rPr>
          <w:rFonts w:ascii="Arial" w:hAnsi="Arial"/>
          <w:color w:val="000000"/>
        </w:rPr>
      </w:pPr>
      <w:r>
        <w:rPr>
          <w:rFonts w:ascii="Arial" w:hAnsi="Arial"/>
          <w:color w:val="000000"/>
        </w:rPr>
        <w:t>Use a variety of methods and approaches (including differentiation) to match curricular objectives and the range of pupil needs, and ensure equal opportunity for all pupils.</w:t>
      </w:r>
    </w:p>
    <w:p>
      <w:pPr>
        <w:numPr>
          <w:ilvl w:val="0"/>
          <w:numId w:val="1"/>
        </w:numPr>
        <w:tabs>
          <w:tab w:val="clear" w:pos="720"/>
        </w:tabs>
        <w:rPr>
          <w:rFonts w:ascii="Arial" w:hAnsi="Arial"/>
          <w:color w:val="000000"/>
        </w:rPr>
      </w:pPr>
      <w:r>
        <w:rPr>
          <w:rFonts w:ascii="Arial" w:hAnsi="Arial"/>
          <w:color w:val="000000"/>
        </w:rPr>
        <w:t>Set homework regularly, (in accordance with the School homework policy, homework), to consolidate and extend learning and encourage pupils to take responsibility for their own learning.</w:t>
      </w:r>
    </w:p>
    <w:p>
      <w:pPr>
        <w:numPr>
          <w:ilvl w:val="0"/>
          <w:numId w:val="1"/>
        </w:numPr>
        <w:tabs>
          <w:tab w:val="clear" w:pos="720"/>
        </w:tabs>
        <w:rPr>
          <w:rFonts w:ascii="Arial" w:hAnsi="Arial"/>
          <w:color w:val="000000"/>
        </w:rPr>
      </w:pPr>
      <w:r>
        <w:rPr>
          <w:rFonts w:ascii="Arial" w:hAnsi="Arial"/>
          <w:color w:val="000000"/>
        </w:rPr>
        <w:t>Work with SEN staff and support staff (including prior discussion and joint planning) in order to benefit from their specialist knowledge and to maximise their effectiveness within lessons.</w:t>
      </w:r>
    </w:p>
    <w:p>
      <w:pPr>
        <w:numPr>
          <w:ilvl w:val="0"/>
          <w:numId w:val="1"/>
        </w:numPr>
        <w:tabs>
          <w:tab w:val="clear" w:pos="720"/>
        </w:tabs>
        <w:rPr>
          <w:rFonts w:ascii="Arial" w:hAnsi="Arial"/>
          <w:color w:val="000000"/>
        </w:rPr>
      </w:pPr>
      <w:r>
        <w:rPr>
          <w:rFonts w:ascii="Arial" w:hAnsi="Arial"/>
          <w:color w:val="000000"/>
        </w:rPr>
        <w:t>Work effectively as a member of the Faculty team to improve the quality of teaching and learning.</w:t>
      </w:r>
    </w:p>
    <w:p>
      <w:pPr>
        <w:numPr>
          <w:ilvl w:val="0"/>
          <w:numId w:val="1"/>
        </w:numPr>
        <w:tabs>
          <w:tab w:val="clear" w:pos="720"/>
        </w:tabs>
        <w:rPr>
          <w:rFonts w:ascii="Arial" w:hAnsi="Arial"/>
          <w:color w:val="000000"/>
        </w:rPr>
      </w:pPr>
      <w:r>
        <w:rPr>
          <w:rFonts w:ascii="Arial" w:hAnsi="Arial"/>
          <w:color w:val="000000"/>
        </w:rPr>
        <w:t>Set high expectations for all pupils, to deepen their knowledge and understanding and to maximise their achievement.</w:t>
      </w:r>
    </w:p>
    <w:p>
      <w:pPr>
        <w:numPr>
          <w:ilvl w:val="0"/>
          <w:numId w:val="1"/>
        </w:numPr>
        <w:tabs>
          <w:tab w:val="clear" w:pos="720"/>
        </w:tabs>
        <w:rPr>
          <w:rFonts w:ascii="Arial" w:hAnsi="Arial"/>
          <w:color w:val="000000"/>
        </w:rPr>
      </w:pPr>
      <w:r>
        <w:rPr>
          <w:rFonts w:ascii="Arial" w:hAnsi="Arial"/>
          <w:color w:val="000000"/>
        </w:rPr>
        <w:t>Use positive management of behaviour in an environment of mutual respect which allows pupils to feel safe and secure and promotes their self-esteem.</w:t>
      </w:r>
    </w:p>
    <w:p>
      <w:pPr>
        <w:pStyle w:val="Footer"/>
        <w:tabs>
          <w:tab w:val="clear" w:pos="4153"/>
          <w:tab w:val="clear" w:pos="8306"/>
        </w:tabs>
        <w:rPr>
          <w:rFonts w:ascii="Arial" w:hAnsi="Arial"/>
          <w:color w:val="000000"/>
        </w:rPr>
      </w:pPr>
    </w:p>
    <w:p>
      <w:pPr>
        <w:rPr>
          <w:rFonts w:ascii="Arial" w:hAnsi="Arial"/>
          <w:b/>
          <w:bCs/>
          <w:color w:val="000000"/>
        </w:rPr>
      </w:pPr>
      <w:r>
        <w:rPr>
          <w:rFonts w:ascii="Arial" w:hAnsi="Arial"/>
          <w:b/>
          <w:bCs/>
          <w:color w:val="000000"/>
        </w:rPr>
        <w:t>Monitoring, Assessment, Recording, Reporting, and Accountability</w:t>
      </w:r>
    </w:p>
    <w:p>
      <w:pPr>
        <w:rPr>
          <w:rFonts w:ascii="Arial" w:hAnsi="Arial"/>
          <w:b/>
          <w:bCs/>
          <w:color w:val="000000"/>
        </w:rPr>
      </w:pPr>
    </w:p>
    <w:p>
      <w:pPr>
        <w:numPr>
          <w:ilvl w:val="0"/>
          <w:numId w:val="2"/>
        </w:numPr>
        <w:rPr>
          <w:rFonts w:ascii="Arial" w:hAnsi="Arial"/>
          <w:color w:val="000000"/>
        </w:rPr>
      </w:pPr>
      <w:r>
        <w:rPr>
          <w:rFonts w:ascii="Arial" w:hAnsi="Arial"/>
          <w:color w:val="000000"/>
        </w:rPr>
        <w:t>Be immediately responsible for the processes of identification, assessment, recording and reporting for the pupils in their charge.</w:t>
      </w:r>
    </w:p>
    <w:p>
      <w:pPr>
        <w:numPr>
          <w:ilvl w:val="0"/>
          <w:numId w:val="2"/>
        </w:numPr>
        <w:rPr>
          <w:rFonts w:ascii="Arial" w:hAnsi="Arial"/>
          <w:color w:val="000000"/>
        </w:rPr>
      </w:pPr>
      <w:r>
        <w:rPr>
          <w:rFonts w:ascii="Arial" w:hAnsi="Arial"/>
          <w:color w:val="000000"/>
        </w:rPr>
        <w:t>Contribute towards the implementation of IEPs as detailed in the current Code of Practice particularly the planning and recording of appropriate actions and outcomes related to set targets.</w:t>
      </w:r>
    </w:p>
    <w:p>
      <w:pPr>
        <w:numPr>
          <w:ilvl w:val="0"/>
          <w:numId w:val="2"/>
        </w:numPr>
        <w:rPr>
          <w:rFonts w:ascii="Arial" w:hAnsi="Arial"/>
          <w:color w:val="000000"/>
        </w:rPr>
      </w:pPr>
      <w:r>
        <w:rPr>
          <w:rFonts w:ascii="Arial" w:hAnsi="Arial"/>
          <w:color w:val="000000"/>
        </w:rPr>
        <w:t>Assess pupils’ work systematically and use the results to inform future planning, teaching and curricular development.</w:t>
      </w:r>
    </w:p>
    <w:p>
      <w:pPr>
        <w:numPr>
          <w:ilvl w:val="0"/>
          <w:numId w:val="2"/>
        </w:numPr>
        <w:rPr>
          <w:rFonts w:ascii="Arial" w:hAnsi="Arial"/>
          <w:color w:val="000000"/>
        </w:rPr>
      </w:pPr>
      <w:r>
        <w:rPr>
          <w:rFonts w:ascii="Arial" w:hAnsi="Arial"/>
          <w:color w:val="000000"/>
        </w:rPr>
        <w:t>Be familiar with statutory assessment and reporting procedures and prepare and present informative, helpful and accurate reports to parents.</w:t>
      </w:r>
    </w:p>
    <w:p>
      <w:pPr>
        <w:pStyle w:val="Footer"/>
        <w:tabs>
          <w:tab w:val="clear" w:pos="4153"/>
          <w:tab w:val="clear" w:pos="8306"/>
        </w:tabs>
        <w:ind w:left="720"/>
        <w:rPr>
          <w:rFonts w:ascii="Arial" w:hAnsi="Arial"/>
          <w:color w:val="000000"/>
        </w:rPr>
      </w:pPr>
    </w:p>
    <w:p>
      <w:pPr>
        <w:pStyle w:val="Footer"/>
        <w:tabs>
          <w:tab w:val="clear" w:pos="4153"/>
          <w:tab w:val="clear" w:pos="8306"/>
        </w:tabs>
        <w:ind w:left="720"/>
        <w:rPr>
          <w:rFonts w:ascii="Arial" w:hAnsi="Arial"/>
          <w:color w:val="000000"/>
        </w:rPr>
      </w:pPr>
    </w:p>
    <w:p>
      <w:pPr>
        <w:pStyle w:val="Footer"/>
        <w:tabs>
          <w:tab w:val="clear" w:pos="4153"/>
          <w:tab w:val="clear" w:pos="8306"/>
        </w:tabs>
        <w:ind w:left="720"/>
        <w:rPr>
          <w:rFonts w:ascii="Arial" w:hAnsi="Arial"/>
          <w:color w:val="000000"/>
        </w:rPr>
      </w:pPr>
    </w:p>
    <w:p>
      <w:pPr>
        <w:pStyle w:val="Footer"/>
        <w:tabs>
          <w:tab w:val="clear" w:pos="4153"/>
          <w:tab w:val="clear" w:pos="8306"/>
        </w:tabs>
        <w:ind w:left="720"/>
        <w:rPr>
          <w:rFonts w:ascii="Arial" w:hAnsi="Arial"/>
          <w:color w:val="000000"/>
        </w:rPr>
      </w:pPr>
    </w:p>
    <w:p>
      <w:pPr>
        <w:pStyle w:val="Footer"/>
        <w:numPr>
          <w:ilvl w:val="0"/>
          <w:numId w:val="2"/>
        </w:numPr>
        <w:tabs>
          <w:tab w:val="clear" w:pos="4153"/>
          <w:tab w:val="clear" w:pos="8306"/>
        </w:tabs>
        <w:rPr>
          <w:rFonts w:ascii="Arial" w:hAnsi="Arial"/>
          <w:color w:val="000000"/>
        </w:rPr>
      </w:pPr>
      <w:r>
        <w:rPr>
          <w:rFonts w:ascii="Arial" w:hAnsi="Arial"/>
          <w:color w:val="000000"/>
        </w:rPr>
        <w:t>Keep an accurate register of pupils for each lesson.  Unexplained absences or patterns of absence should be reported immediately in accordance with the School policy.</w:t>
      </w:r>
    </w:p>
    <w:p>
      <w:pPr>
        <w:pStyle w:val="Footer"/>
        <w:tabs>
          <w:tab w:val="clear" w:pos="4153"/>
          <w:tab w:val="clear" w:pos="8306"/>
        </w:tabs>
        <w:rPr>
          <w:rFonts w:ascii="Arial" w:hAnsi="Arial"/>
          <w:color w:val="000000"/>
        </w:rPr>
      </w:pPr>
    </w:p>
    <w:p>
      <w:pPr>
        <w:rPr>
          <w:rFonts w:ascii="Arial" w:hAnsi="Arial"/>
          <w:b/>
          <w:bCs/>
          <w:color w:val="000000"/>
        </w:rPr>
      </w:pPr>
      <w:r>
        <w:rPr>
          <w:rFonts w:ascii="Arial" w:hAnsi="Arial"/>
          <w:b/>
          <w:bCs/>
          <w:color w:val="000000"/>
        </w:rPr>
        <w:t>Subject Knowledge and Understanding</w:t>
      </w:r>
    </w:p>
    <w:p>
      <w:pPr>
        <w:rPr>
          <w:rFonts w:ascii="Arial" w:hAnsi="Arial"/>
          <w:b/>
          <w:bCs/>
          <w:color w:val="000000"/>
        </w:rPr>
      </w:pPr>
    </w:p>
    <w:p>
      <w:pPr>
        <w:pStyle w:val="BodyText2"/>
        <w:numPr>
          <w:ilvl w:val="0"/>
          <w:numId w:val="3"/>
        </w:numPr>
        <w:rPr>
          <w:rFonts w:ascii="Arial" w:hAnsi="Arial"/>
          <w:color w:val="000000"/>
        </w:rPr>
      </w:pPr>
      <w:r>
        <w:rPr>
          <w:rFonts w:ascii="Arial" w:hAnsi="Arial"/>
          <w:color w:val="000000"/>
        </w:rPr>
        <w:t>Have a thorough and up-to-date knowledge and understanding of the National Curriculum programmes of study, any current level descriptors and specifications for examination courses.</w:t>
      </w:r>
    </w:p>
    <w:p>
      <w:pPr>
        <w:numPr>
          <w:ilvl w:val="0"/>
          <w:numId w:val="3"/>
        </w:numPr>
        <w:rPr>
          <w:rFonts w:ascii="Arial" w:hAnsi="Arial"/>
          <w:color w:val="000000"/>
        </w:rPr>
      </w:pPr>
      <w:r>
        <w:rPr>
          <w:rFonts w:ascii="Arial" w:hAnsi="Arial"/>
          <w:color w:val="000000"/>
        </w:rPr>
        <w:t>Keep up-to-date with research and developments in pedagogy and the subject area.</w:t>
      </w:r>
    </w:p>
    <w:p>
      <w:pPr>
        <w:rPr>
          <w:rFonts w:ascii="Arial" w:hAnsi="Arial"/>
          <w:color w:val="000000"/>
        </w:rPr>
      </w:pPr>
    </w:p>
    <w:p>
      <w:pPr>
        <w:rPr>
          <w:rFonts w:ascii="Arial" w:hAnsi="Arial"/>
          <w:b/>
          <w:bCs/>
          <w:color w:val="000000"/>
        </w:rPr>
      </w:pPr>
      <w:r>
        <w:rPr>
          <w:rFonts w:ascii="Arial" w:hAnsi="Arial"/>
          <w:b/>
          <w:bCs/>
          <w:color w:val="000000"/>
        </w:rPr>
        <w:t>Professional Standards and Development</w:t>
      </w:r>
    </w:p>
    <w:p>
      <w:pPr>
        <w:rPr>
          <w:rFonts w:ascii="Arial" w:hAnsi="Arial"/>
          <w:b/>
          <w:bCs/>
          <w:color w:val="000000"/>
        </w:rPr>
      </w:pPr>
    </w:p>
    <w:p>
      <w:pPr>
        <w:numPr>
          <w:ilvl w:val="0"/>
          <w:numId w:val="9"/>
        </w:numPr>
        <w:rPr>
          <w:rFonts w:ascii="Arial" w:hAnsi="Arial"/>
          <w:color w:val="000000"/>
        </w:rPr>
      </w:pPr>
      <w:r>
        <w:rPr>
          <w:rFonts w:ascii="Arial" w:hAnsi="Arial"/>
          <w:color w:val="000000"/>
        </w:rPr>
        <w:t>Be a role model to pupils through personal presentation and professional conduct.</w:t>
      </w:r>
    </w:p>
    <w:p>
      <w:pPr>
        <w:numPr>
          <w:ilvl w:val="0"/>
          <w:numId w:val="9"/>
        </w:numPr>
        <w:rPr>
          <w:rFonts w:ascii="Arial" w:hAnsi="Arial"/>
          <w:color w:val="000000"/>
        </w:rPr>
      </w:pPr>
      <w:r>
        <w:rPr>
          <w:rFonts w:ascii="Arial" w:hAnsi="Arial"/>
          <w:color w:val="000000"/>
        </w:rPr>
        <w:t>Arrive in class, on or before the start of the lesson, and begin and end lessons on time.</w:t>
      </w:r>
    </w:p>
    <w:p>
      <w:pPr>
        <w:numPr>
          <w:ilvl w:val="0"/>
          <w:numId w:val="9"/>
        </w:numPr>
        <w:rPr>
          <w:rFonts w:ascii="Arial" w:hAnsi="Arial"/>
          <w:color w:val="000000"/>
        </w:rPr>
      </w:pPr>
      <w:r>
        <w:rPr>
          <w:rFonts w:ascii="Arial" w:hAnsi="Arial"/>
          <w:color w:val="000000"/>
        </w:rPr>
        <w:t>Be familiar with the School and Faculty handbooks and support all the School’s policies, e.g. those on Health and Safety, Marking, Literacy, Numeracy and ICT.</w:t>
      </w:r>
    </w:p>
    <w:p>
      <w:pPr>
        <w:numPr>
          <w:ilvl w:val="0"/>
          <w:numId w:val="9"/>
        </w:numPr>
        <w:rPr>
          <w:rFonts w:ascii="Arial" w:hAnsi="Arial"/>
          <w:color w:val="000000"/>
        </w:rPr>
      </w:pPr>
      <w:r>
        <w:rPr>
          <w:rFonts w:ascii="Arial" w:hAnsi="Arial"/>
          <w:color w:val="000000"/>
        </w:rPr>
        <w:t>Establish effective working relationships with professional colleagues and associate staff.</w:t>
      </w:r>
    </w:p>
    <w:p>
      <w:pPr>
        <w:numPr>
          <w:ilvl w:val="0"/>
          <w:numId w:val="9"/>
        </w:numPr>
        <w:rPr>
          <w:rFonts w:ascii="Arial" w:hAnsi="Arial"/>
          <w:color w:val="000000"/>
        </w:rPr>
      </w:pPr>
      <w:r>
        <w:rPr>
          <w:rFonts w:ascii="Arial" w:hAnsi="Arial"/>
          <w:color w:val="000000"/>
        </w:rPr>
        <w:t>Be involved in extra-curricular activities such as making a contribution to after-school clubs and visits.</w:t>
      </w:r>
    </w:p>
    <w:p>
      <w:pPr>
        <w:numPr>
          <w:ilvl w:val="0"/>
          <w:numId w:val="9"/>
        </w:numPr>
        <w:rPr>
          <w:rFonts w:ascii="Arial" w:hAnsi="Arial"/>
          <w:color w:val="000000"/>
        </w:rPr>
      </w:pPr>
      <w:r>
        <w:rPr>
          <w:rFonts w:ascii="Arial" w:hAnsi="Arial"/>
          <w:color w:val="000000"/>
        </w:rPr>
        <w:t>Maintain a working knowledge and understanding of teachers’ professional duties as set out in the current School Teachers’ Pay and Conditions document, and teachers’ legal liabilities and responsibilities relating to all current legislation, including the role of the education service in protecting children.</w:t>
      </w:r>
    </w:p>
    <w:p>
      <w:pPr>
        <w:numPr>
          <w:ilvl w:val="0"/>
          <w:numId w:val="9"/>
        </w:numPr>
        <w:rPr>
          <w:rFonts w:ascii="Arial" w:hAnsi="Arial"/>
          <w:color w:val="000000"/>
        </w:rPr>
      </w:pPr>
      <w:r>
        <w:rPr>
          <w:rFonts w:ascii="Arial" w:hAnsi="Arial"/>
          <w:color w:val="000000"/>
        </w:rPr>
        <w:t>Liaise effectively with parent/carers and with other agencies with responsibility for pupils’ education and welfare.</w:t>
      </w:r>
    </w:p>
    <w:p>
      <w:pPr>
        <w:numPr>
          <w:ilvl w:val="0"/>
          <w:numId w:val="9"/>
        </w:numPr>
        <w:rPr>
          <w:rFonts w:ascii="Arial" w:hAnsi="Arial"/>
          <w:color w:val="000000"/>
          <w:u w:val="single"/>
        </w:rPr>
      </w:pPr>
      <w:r>
        <w:rPr>
          <w:rFonts w:ascii="Arial" w:hAnsi="Arial"/>
          <w:color w:val="000000"/>
        </w:rPr>
        <w:t>Be aware of the role of the Governing Body of the School and support it in performing its duties.</w:t>
      </w:r>
    </w:p>
    <w:p>
      <w:pPr>
        <w:numPr>
          <w:ilvl w:val="0"/>
          <w:numId w:val="9"/>
        </w:numPr>
        <w:rPr>
          <w:rFonts w:ascii="Arial" w:hAnsi="Arial"/>
          <w:color w:val="000000"/>
        </w:rPr>
      </w:pPr>
      <w:r>
        <w:rPr>
          <w:rFonts w:ascii="Arial" w:hAnsi="Arial"/>
          <w:color w:val="000000"/>
        </w:rPr>
        <w:t>Be familiar with and implement the relevant requirements of the current SEN Code of Practice, DDA and Access to Work.</w:t>
      </w:r>
    </w:p>
    <w:p>
      <w:pPr>
        <w:numPr>
          <w:ilvl w:val="0"/>
          <w:numId w:val="9"/>
        </w:numPr>
        <w:rPr>
          <w:rFonts w:ascii="Arial" w:hAnsi="Arial"/>
          <w:color w:val="000000"/>
        </w:rPr>
      </w:pPr>
      <w:r>
        <w:rPr>
          <w:rFonts w:ascii="Arial" w:hAnsi="Arial"/>
          <w:color w:val="000000"/>
        </w:rPr>
        <w:t>Consider the needs of all pupils within lessons (and implement specialist advice) especially those who:</w:t>
      </w:r>
    </w:p>
    <w:p>
      <w:pPr>
        <w:ind w:left="720"/>
        <w:rPr>
          <w:rFonts w:ascii="Arial" w:hAnsi="Arial"/>
          <w:color w:val="000000"/>
        </w:rPr>
      </w:pPr>
    </w:p>
    <w:p>
      <w:pPr>
        <w:numPr>
          <w:ilvl w:val="0"/>
          <w:numId w:val="6"/>
        </w:numPr>
        <w:rPr>
          <w:rFonts w:ascii="Arial" w:hAnsi="Arial"/>
          <w:color w:val="000000"/>
        </w:rPr>
      </w:pPr>
      <w:r>
        <w:rPr>
          <w:rFonts w:ascii="Arial" w:hAnsi="Arial"/>
          <w:color w:val="000000"/>
        </w:rPr>
        <w:t>have SEN;</w:t>
      </w:r>
    </w:p>
    <w:p>
      <w:pPr>
        <w:numPr>
          <w:ilvl w:val="0"/>
          <w:numId w:val="6"/>
        </w:numPr>
        <w:rPr>
          <w:rFonts w:ascii="Arial" w:hAnsi="Arial"/>
          <w:color w:val="000000"/>
        </w:rPr>
      </w:pPr>
      <w:r>
        <w:rPr>
          <w:rFonts w:ascii="Arial" w:hAnsi="Arial"/>
          <w:color w:val="000000"/>
        </w:rPr>
        <w:t>eligible for FSM;</w:t>
      </w:r>
    </w:p>
    <w:p>
      <w:pPr>
        <w:numPr>
          <w:ilvl w:val="0"/>
          <w:numId w:val="6"/>
        </w:numPr>
        <w:rPr>
          <w:rFonts w:ascii="Arial" w:hAnsi="Arial"/>
          <w:color w:val="000000"/>
        </w:rPr>
      </w:pPr>
      <w:r>
        <w:rPr>
          <w:rFonts w:ascii="Arial" w:hAnsi="Arial"/>
          <w:color w:val="000000"/>
        </w:rPr>
        <w:t>are gifted and talented;</w:t>
      </w:r>
    </w:p>
    <w:p>
      <w:pPr>
        <w:numPr>
          <w:ilvl w:val="0"/>
          <w:numId w:val="6"/>
        </w:numPr>
        <w:rPr>
          <w:rFonts w:ascii="Arial" w:hAnsi="Arial"/>
          <w:color w:val="000000"/>
        </w:rPr>
      </w:pPr>
      <w:r>
        <w:rPr>
          <w:rFonts w:ascii="Arial" w:hAnsi="Arial"/>
          <w:color w:val="000000"/>
        </w:rPr>
        <w:t>are not yet fluent in English.</w:t>
      </w: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pStyle w:val="Footer"/>
        <w:tabs>
          <w:tab w:val="clear" w:pos="4153"/>
          <w:tab w:val="clear" w:pos="8306"/>
        </w:tabs>
        <w:rPr>
          <w:rFonts w:ascii="Arial" w:hAnsi="Arial"/>
          <w:color w:val="000000"/>
        </w:rPr>
      </w:pPr>
    </w:p>
    <w:p>
      <w:pPr>
        <w:pStyle w:val="BodyText"/>
        <w:rPr>
          <w:rFonts w:ascii="Arial" w:hAnsi="Arial"/>
          <w:b/>
        </w:rPr>
      </w:pPr>
    </w:p>
    <w:p>
      <w:pPr>
        <w:pStyle w:val="BodyText"/>
        <w:rPr>
          <w:rFonts w:ascii="Arial" w:hAnsi="Arial"/>
          <w:b/>
        </w:rPr>
      </w:pPr>
    </w:p>
    <w:p>
      <w:pPr>
        <w:pStyle w:val="BodyText"/>
        <w:rPr>
          <w:rFonts w:ascii="Arial" w:hAnsi="Arial"/>
          <w:b/>
        </w:rPr>
      </w:pPr>
      <w:r>
        <w:rPr>
          <w:rFonts w:ascii="Arial" w:hAnsi="Arial"/>
          <w:b/>
        </w:rPr>
        <w:t>Health and Safety</w:t>
      </w:r>
    </w:p>
    <w:p>
      <w:pPr>
        <w:numPr>
          <w:ilvl w:val="0"/>
          <w:numId w:val="7"/>
        </w:numPr>
        <w:rPr>
          <w:rFonts w:ascii="Arial" w:hAnsi="Arial"/>
          <w:color w:val="000000"/>
        </w:rPr>
      </w:pPr>
      <w:r>
        <w:rPr>
          <w:rFonts w:ascii="Arial" w:hAnsi="Arial"/>
          <w:color w:val="000000"/>
        </w:rPr>
        <w:t>Undergo Basic First Aid training and update courses.</w:t>
      </w:r>
    </w:p>
    <w:p>
      <w:pPr>
        <w:pStyle w:val="BodyTextIndent2"/>
        <w:numPr>
          <w:ilvl w:val="0"/>
          <w:numId w:val="7"/>
        </w:numPr>
        <w:rPr>
          <w:rFonts w:ascii="Arial" w:hAnsi="Arial"/>
          <w:color w:val="000000"/>
        </w:rPr>
      </w:pPr>
      <w:r>
        <w:rPr>
          <w:rFonts w:ascii="Arial" w:hAnsi="Arial"/>
          <w:color w:val="000000"/>
        </w:rPr>
        <w:t>Be aware of the responsibility for personal Health, Safety and Welfare and that of others who may be affected by your actions or inactions.</w:t>
      </w:r>
    </w:p>
    <w:p>
      <w:pPr>
        <w:numPr>
          <w:ilvl w:val="0"/>
          <w:numId w:val="7"/>
        </w:numPr>
        <w:rPr>
          <w:rFonts w:ascii="Arial" w:hAnsi="Arial"/>
          <w:color w:val="000000"/>
        </w:rPr>
      </w:pPr>
      <w:r>
        <w:rPr>
          <w:rFonts w:ascii="Arial" w:hAnsi="Arial"/>
          <w:color w:val="000000"/>
        </w:rPr>
        <w:t>Co-operate with the employer on all issues to do with Health, Safety &amp; Welfare.</w:t>
      </w:r>
    </w:p>
    <w:p>
      <w:pPr>
        <w:pStyle w:val="Header"/>
        <w:tabs>
          <w:tab w:val="clear" w:pos="4153"/>
          <w:tab w:val="clear" w:pos="8306"/>
        </w:tabs>
        <w:rPr>
          <w:rFonts w:ascii="Arial" w:hAnsi="Arial"/>
          <w:color w:val="000000"/>
        </w:rPr>
      </w:pPr>
    </w:p>
    <w:p>
      <w:pPr>
        <w:rPr>
          <w:rFonts w:ascii="Arial" w:hAnsi="Arial"/>
          <w:b/>
          <w:bCs/>
          <w:color w:val="000000"/>
        </w:rPr>
      </w:pPr>
      <w:r>
        <w:rPr>
          <w:rFonts w:ascii="Arial" w:hAnsi="Arial"/>
          <w:b/>
          <w:bCs/>
          <w:color w:val="000000"/>
        </w:rPr>
        <w:t>Continuing Professional Development</w:t>
      </w:r>
    </w:p>
    <w:p>
      <w:pPr>
        <w:rPr>
          <w:rFonts w:ascii="Arial" w:hAnsi="Arial"/>
          <w:b/>
          <w:bCs/>
          <w:color w:val="000000"/>
        </w:rPr>
      </w:pPr>
    </w:p>
    <w:p>
      <w:pPr>
        <w:pStyle w:val="NumberlistStartat1"/>
        <w:numPr>
          <w:ilvl w:val="0"/>
          <w:numId w:val="8"/>
        </w:numPr>
        <w:rPr>
          <w:rFonts w:ascii="Arial" w:hAnsi="Arial"/>
        </w:rPr>
      </w:pPr>
      <w:r>
        <w:rPr>
          <w:rFonts w:ascii="Arial" w:hAnsi="Arial"/>
        </w:rPr>
        <w:t>In conjunction with the line manager, take responsibility for personal professional development, keeping up-to-date with research and developments in teaching pedagogy and changes in the School Curriculum, which may lead to improvements in teaching and learning.</w:t>
      </w:r>
    </w:p>
    <w:p>
      <w:pPr>
        <w:pStyle w:val="NumberlistStartat1"/>
        <w:numPr>
          <w:ilvl w:val="0"/>
          <w:numId w:val="8"/>
        </w:numPr>
        <w:rPr>
          <w:rFonts w:ascii="Arial" w:hAnsi="Arial"/>
        </w:rPr>
      </w:pPr>
      <w:r>
        <w:rPr>
          <w:rFonts w:ascii="Arial" w:hAnsi="Arial"/>
        </w:rPr>
        <w:t>Undertake any necessary professional development as identified in the School Improvement Plan taking full advantage of any relevant training and development available.</w:t>
      </w:r>
    </w:p>
    <w:p>
      <w:pPr>
        <w:pStyle w:val="NumberlistStartat1"/>
        <w:numPr>
          <w:ilvl w:val="0"/>
          <w:numId w:val="8"/>
        </w:numPr>
        <w:rPr>
          <w:rFonts w:ascii="Arial" w:hAnsi="Arial"/>
        </w:rPr>
      </w:pPr>
      <w:r>
        <w:rPr>
          <w:rFonts w:ascii="Arial" w:hAnsi="Arial"/>
        </w:rPr>
        <w:t>Maintain a professional portfolio of evidence to support the Performance Management process - evaluating and improving own practice.</w:t>
      </w:r>
    </w:p>
    <w:p>
      <w:pPr>
        <w:pStyle w:val="NumberlistStartat1"/>
        <w:numPr>
          <w:ilvl w:val="0"/>
          <w:numId w:val="8"/>
        </w:numPr>
        <w:rPr>
          <w:rFonts w:ascii="Arial" w:hAnsi="Arial"/>
        </w:rPr>
      </w:pPr>
      <w:r>
        <w:rPr>
          <w:rFonts w:ascii="Arial" w:hAnsi="Arial"/>
        </w:rPr>
        <w:t>Contribute to the professional development of colleagues, especially NQTs and ITTs.</w:t>
      </w:r>
    </w:p>
    <w:p>
      <w:pPr>
        <w:ind w:right="-432"/>
        <w:rPr>
          <w:rFonts w:ascii="Arial" w:hAnsi="Arial"/>
          <w:b/>
          <w:bCs/>
          <w:color w:val="000000"/>
        </w:rPr>
      </w:pPr>
    </w:p>
    <w:p>
      <w:pPr>
        <w:ind w:right="-432"/>
        <w:rPr>
          <w:rFonts w:ascii="Arial" w:hAnsi="Arial"/>
          <w:color w:val="000000"/>
        </w:rPr>
      </w:pPr>
      <w:r>
        <w:rPr>
          <w:rFonts w:ascii="Arial" w:hAnsi="Arial"/>
          <w:b/>
          <w:bCs/>
          <w:color w:val="000000"/>
        </w:rPr>
        <w:t>N.B</w:t>
      </w:r>
      <w:r>
        <w:rPr>
          <w:rFonts w:ascii="Arial" w:hAnsi="Arial"/>
          <w:color w:val="000000"/>
        </w:rPr>
        <w:t>:  Every subject teacher will be expected to have pastoral responsibilities - detailed separately.</w:t>
      </w:r>
    </w:p>
    <w:p>
      <w:pPr>
        <w:pStyle w:val="Header"/>
        <w:tabs>
          <w:tab w:val="clear" w:pos="4153"/>
          <w:tab w:val="clear" w:pos="8306"/>
        </w:tabs>
        <w:rPr>
          <w:rFonts w:ascii="Arial" w:hAnsi="Arial"/>
          <w:color w:val="000000"/>
        </w:rPr>
      </w:pPr>
    </w:p>
    <w:p>
      <w:pPr>
        <w:rPr>
          <w:rFonts w:ascii="Arial" w:hAnsi="Arial"/>
          <w:b/>
          <w:bCs/>
          <w:color w:val="000000"/>
        </w:rPr>
      </w:pPr>
      <w:r>
        <w:rPr>
          <w:rFonts w:ascii="Arial" w:hAnsi="Arial"/>
          <w:b/>
          <w:bCs/>
          <w:color w:val="000000"/>
        </w:rPr>
        <w:t>SECTION 2 - ADDITIONAL DUTIES FOR THIS POST</w:t>
      </w:r>
    </w:p>
    <w:p>
      <w:pPr>
        <w:rPr>
          <w:rFonts w:ascii="Arial" w:hAnsi="Arial"/>
          <w:color w:val="000000"/>
        </w:rPr>
      </w:pPr>
      <w:r>
        <w:rPr>
          <w:rFonts w:ascii="Arial" w:hAnsi="Arial"/>
          <w:color w:val="000000"/>
        </w:rPr>
        <w:t>The following tasks will be negotiated and agreed at the time of appointment and at annual review.  These additional tasks are seen as an important part of the School's professional development programme:</w:t>
      </w:r>
    </w:p>
    <w:p>
      <w:pPr>
        <w:rPr>
          <w:rFonts w:ascii="Arial" w:hAnsi="Arial"/>
          <w:color w:val="000000"/>
        </w:rPr>
      </w:pPr>
    </w:p>
    <w:p>
      <w:pPr>
        <w:jc w:val="center"/>
        <w:rPr>
          <w:rFonts w:ascii="Arial" w:hAnsi="Arial"/>
          <w:i/>
          <w:iCs/>
          <w:color w:val="000000"/>
        </w:rPr>
      </w:pPr>
      <w:r>
        <w:rPr>
          <w:rFonts w:ascii="Arial" w:hAnsi="Arial"/>
          <w:i/>
          <w:iCs/>
          <w:color w:val="000000"/>
        </w:rPr>
        <w:t>(add additional duties for your requirements)</w:t>
      </w:r>
    </w:p>
    <w:p>
      <w:pPr>
        <w:rPr>
          <w:rFonts w:ascii="Arial" w:hAnsi="Arial"/>
          <w:color w:val="000000"/>
        </w:rPr>
      </w:pPr>
    </w:p>
    <w:p>
      <w:pPr>
        <w:rPr>
          <w:rFonts w:ascii="Arial" w:hAnsi="Arial"/>
          <w:color w:val="000000"/>
        </w:rPr>
      </w:pPr>
      <w:r>
        <w:rPr>
          <w:rFonts w:ascii="Arial" w:hAnsi="Arial"/>
          <w:color w:val="000000"/>
        </w:rPr>
        <w:t>This 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w:t>
      </w:r>
    </w:p>
    <w:p>
      <w:pPr>
        <w:rPr>
          <w:rFonts w:ascii="Arial" w:hAnsi="Arial"/>
          <w:color w:val="000000"/>
        </w:rPr>
      </w:pPr>
    </w:p>
    <w:p>
      <w:pPr>
        <w:rPr>
          <w:rFonts w:ascii="Arial" w:hAnsi="Arial"/>
          <w:color w:val="000000"/>
        </w:rPr>
      </w:pPr>
    </w:p>
    <w:tbl>
      <w:tblPr>
        <w:tblW w:w="8753" w:type="dxa"/>
        <w:jc w:val="center"/>
        <w:tblLayout w:type="fixed"/>
        <w:tblLook w:val="0000" w:firstRow="0" w:lastRow="0" w:firstColumn="0" w:lastColumn="0" w:noHBand="0" w:noVBand="0"/>
      </w:tblPr>
      <w:tblGrid>
        <w:gridCol w:w="3059"/>
        <w:gridCol w:w="5694"/>
      </w:tblGrid>
      <w:tr>
        <w:trPr>
          <w:cantSplit/>
          <w:jc w:val="center"/>
        </w:trPr>
        <w:tc>
          <w:tcPr>
            <w:tcW w:w="3059" w:type="dxa"/>
            <w:tcBorders>
              <w:top w:val="single" w:sz="12" w:space="0" w:color="auto"/>
              <w:left w:val="single" w:sz="12" w:space="0" w:color="auto"/>
              <w:bottom w:val="single" w:sz="6" w:space="0" w:color="auto"/>
              <w:right w:val="single" w:sz="6" w:space="0" w:color="auto"/>
            </w:tcBorders>
          </w:tcPr>
          <w:p>
            <w:pPr>
              <w:pStyle w:val="DefaultParagraphFont1"/>
              <w:rPr>
                <w:rFonts w:ascii="Arial" w:hAnsi="Arial" w:cs="Times New Roman"/>
                <w:color w:val="000000"/>
                <w:sz w:val="24"/>
                <w:szCs w:val="24"/>
              </w:rPr>
            </w:pPr>
            <w:r>
              <w:rPr>
                <w:rFonts w:ascii="Arial" w:hAnsi="Arial" w:cs="Times New Roman"/>
                <w:color w:val="000000"/>
                <w:sz w:val="24"/>
                <w:szCs w:val="24"/>
              </w:rPr>
              <w:t>Compiled by:  CC/AMH</w:t>
            </w:r>
          </w:p>
        </w:tc>
        <w:tc>
          <w:tcPr>
            <w:tcW w:w="5694" w:type="dxa"/>
            <w:tcBorders>
              <w:top w:val="single" w:sz="12" w:space="0" w:color="auto"/>
              <w:left w:val="single" w:sz="6" w:space="0" w:color="auto"/>
              <w:bottom w:val="single" w:sz="6" w:space="0" w:color="auto"/>
              <w:right w:val="single" w:sz="12" w:space="0" w:color="auto"/>
            </w:tcBorders>
          </w:tcPr>
          <w:p>
            <w:pPr>
              <w:pStyle w:val="DefaultParagraphFont1"/>
              <w:rPr>
                <w:rFonts w:ascii="Arial" w:hAnsi="Arial" w:cs="Times New Roman"/>
                <w:color w:val="000000"/>
                <w:sz w:val="24"/>
                <w:szCs w:val="24"/>
              </w:rPr>
            </w:pPr>
            <w:r>
              <w:rPr>
                <w:rFonts w:ascii="Arial" w:hAnsi="Arial" w:cs="Times New Roman"/>
                <w:color w:val="000000"/>
                <w:sz w:val="24"/>
                <w:szCs w:val="24"/>
              </w:rPr>
              <w:t>Revision Number:          Ver 1.0</w:t>
            </w:r>
            <w:r>
              <w:rPr>
                <w:rFonts w:ascii="Arial" w:hAnsi="Arial" w:cs="Times New Roman"/>
                <w:color w:val="000000"/>
                <w:sz w:val="24"/>
                <w:szCs w:val="24"/>
              </w:rPr>
              <w:tab/>
            </w:r>
          </w:p>
        </w:tc>
      </w:tr>
      <w:tr>
        <w:trPr>
          <w:cantSplit/>
          <w:jc w:val="center"/>
        </w:trPr>
        <w:tc>
          <w:tcPr>
            <w:tcW w:w="3059" w:type="dxa"/>
            <w:tcBorders>
              <w:top w:val="single" w:sz="6" w:space="0" w:color="auto"/>
              <w:left w:val="single" w:sz="12" w:space="0" w:color="auto"/>
              <w:bottom w:val="single" w:sz="12" w:space="0" w:color="auto"/>
              <w:right w:val="single" w:sz="6" w:space="0" w:color="auto"/>
            </w:tcBorders>
          </w:tcPr>
          <w:p>
            <w:pPr>
              <w:pStyle w:val="DefaultParagraphFont1"/>
              <w:rPr>
                <w:rFonts w:ascii="Arial" w:hAnsi="Arial" w:cs="Times New Roman"/>
                <w:color w:val="000000"/>
                <w:sz w:val="24"/>
                <w:szCs w:val="24"/>
              </w:rPr>
            </w:pPr>
            <w:r>
              <w:rPr>
                <w:rFonts w:ascii="Arial" w:hAnsi="Arial" w:cs="Times New Roman"/>
                <w:color w:val="000000"/>
                <w:sz w:val="24"/>
                <w:szCs w:val="24"/>
              </w:rPr>
              <w:t>Approved by:  CC/AMH</w:t>
            </w:r>
          </w:p>
        </w:tc>
        <w:tc>
          <w:tcPr>
            <w:tcW w:w="5694" w:type="dxa"/>
            <w:tcBorders>
              <w:top w:val="single" w:sz="6" w:space="0" w:color="auto"/>
              <w:left w:val="single" w:sz="6" w:space="0" w:color="auto"/>
              <w:bottom w:val="single" w:sz="12" w:space="0" w:color="auto"/>
              <w:right w:val="single" w:sz="12" w:space="0" w:color="auto"/>
            </w:tcBorders>
          </w:tcPr>
          <w:p>
            <w:pPr>
              <w:pStyle w:val="DefaultParagraphFont1"/>
              <w:rPr>
                <w:rFonts w:ascii="Arial" w:hAnsi="Arial" w:cs="Times New Roman"/>
                <w:color w:val="000000"/>
                <w:sz w:val="24"/>
                <w:szCs w:val="24"/>
              </w:rPr>
            </w:pPr>
            <w:r>
              <w:rPr>
                <w:rFonts w:ascii="Arial" w:hAnsi="Arial" w:cs="Times New Roman"/>
                <w:color w:val="000000"/>
                <w:sz w:val="24"/>
                <w:szCs w:val="24"/>
              </w:rPr>
              <w:t>Revision Date:</w:t>
            </w:r>
            <w:r>
              <w:rPr>
                <w:rFonts w:ascii="Arial" w:hAnsi="Arial" w:cs="Times New Roman"/>
                <w:color w:val="000000"/>
                <w:sz w:val="24"/>
                <w:szCs w:val="24"/>
              </w:rPr>
              <w:tab/>
              <w:t xml:space="preserve">      1/04/2016</w:t>
            </w:r>
          </w:p>
        </w:tc>
      </w:tr>
    </w:tbl>
    <w:p>
      <w:pPr>
        <w:rPr>
          <w:rFonts w:ascii="Arial" w:hAnsi="Arial"/>
          <w:color w:val="000000"/>
        </w:rPr>
      </w:pPr>
    </w:p>
    <w:p/>
    <w:sectPr>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tabs>
        <w:tab w:val="clear" w:pos="8306"/>
      </w:tabs>
      <w:jc w:val="center"/>
      <w:rPr>
        <w:rFonts w:ascii="Arial" w:hAnsi="Arial" w:cs="Arial"/>
        <w:b/>
        <w:sz w:val="28"/>
        <w:szCs w:val="28"/>
      </w:rPr>
    </w:pPr>
    <w:r>
      <w:rPr>
        <w:noProof/>
        <w:lang w:eastAsia="en-GB"/>
      </w:rPr>
      <w:drawing>
        <wp:anchor distT="0" distB="0" distL="114300" distR="114300" simplePos="0" relativeHeight="251660288" behindDoc="0" locked="0" layoutInCell="1" allowOverlap="1">
          <wp:simplePos x="0" y="0"/>
          <wp:positionH relativeFrom="column">
            <wp:posOffset>-768350</wp:posOffset>
          </wp:positionH>
          <wp:positionV relativeFrom="paragraph">
            <wp:posOffset>-297180</wp:posOffset>
          </wp:positionV>
          <wp:extent cx="971550" cy="711200"/>
          <wp:effectExtent l="0" t="0" r="0" b="0"/>
          <wp:wrapSquare wrapText="bothSides"/>
          <wp:docPr id="1" name="Picture 0" descr="academy@word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cademy@word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7112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Academy@Worden</w:t>
    </w:r>
  </w:p>
  <w:p>
    <w:pPr>
      <w:pStyle w:val="Header"/>
      <w:tabs>
        <w:tab w:val="clear" w:pos="8306"/>
      </w:tabs>
      <w:jc w:val="center"/>
      <w:rPr>
        <w:rFonts w:ascii="Arial" w:hAnsi="Arial" w:cs="Arial"/>
        <w:b/>
        <w:sz w:val="28"/>
        <w:szCs w:val="28"/>
      </w:rPr>
    </w:pPr>
    <w:r>
      <w:rPr>
        <w:rFonts w:ascii="Arial" w:hAnsi="Arial" w:cs="Arial"/>
        <w:b/>
        <w:sz w:val="28"/>
        <w:szCs w:val="28"/>
      </w:rPr>
      <w:t xml:space="preserve">Subject Teacher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B1EE326"/>
    <w:lvl w:ilvl="0">
      <w:numFmt w:val="decimal"/>
      <w:lvlText w:val="*"/>
      <w:lvlJc w:val="left"/>
      <w:rPr>
        <w:rFonts w:cs="Times New Roman"/>
      </w:rPr>
    </w:lvl>
  </w:abstractNum>
  <w:abstractNum w:abstractNumId="1" w15:restartNumberingAfterBreak="0">
    <w:nsid w:val="00CB1372"/>
    <w:multiLevelType w:val="hybridMultilevel"/>
    <w:tmpl w:val="6D4EAA88"/>
    <w:lvl w:ilvl="0" w:tplc="DE44871E">
      <w:start w:val="1"/>
      <w:numFmt w:val="decimal"/>
      <w:lvlText w:val="%1."/>
      <w:lvlJc w:val="left"/>
      <w:pPr>
        <w:tabs>
          <w:tab w:val="num" w:pos="720"/>
        </w:tabs>
        <w:ind w:left="720" w:hanging="720"/>
      </w:pPr>
      <w:rPr>
        <w:rFonts w:cs="Times New Roman" w:hint="default"/>
      </w:rPr>
    </w:lvl>
    <w:lvl w:ilvl="1" w:tplc="0409000F">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0BD269D"/>
    <w:multiLevelType w:val="hybridMultilevel"/>
    <w:tmpl w:val="2BF833F2"/>
    <w:lvl w:ilvl="0" w:tplc="ADC4E646">
      <w:start w:val="1"/>
      <w:numFmt w:val="decimal"/>
      <w:lvlText w:val="%1."/>
      <w:lvlJc w:val="left"/>
      <w:pPr>
        <w:tabs>
          <w:tab w:val="num" w:pos="720"/>
        </w:tabs>
        <w:ind w:left="720" w:hanging="720"/>
      </w:pPr>
      <w:rPr>
        <w:rFonts w:cs="Times New Roman" w:hint="default"/>
      </w:rPr>
    </w:lvl>
    <w:lvl w:ilvl="1" w:tplc="0409000F">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EA11D2A"/>
    <w:multiLevelType w:val="hybridMultilevel"/>
    <w:tmpl w:val="04CA1CA0"/>
    <w:lvl w:ilvl="0" w:tplc="57585AFE">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32356777"/>
    <w:multiLevelType w:val="hybridMultilevel"/>
    <w:tmpl w:val="0ED8CF12"/>
    <w:lvl w:ilvl="0" w:tplc="ADC4E646">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43611CCC"/>
    <w:multiLevelType w:val="hybridMultilevel"/>
    <w:tmpl w:val="FD343DA6"/>
    <w:lvl w:ilvl="0" w:tplc="ADC4E646">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56DC0B79"/>
    <w:multiLevelType w:val="hybridMultilevel"/>
    <w:tmpl w:val="9778481A"/>
    <w:lvl w:ilvl="0" w:tplc="08E6DFFA">
      <w:start w:val="1"/>
      <w:numFmt w:val="bulle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0A30C7"/>
    <w:multiLevelType w:val="hybridMultilevel"/>
    <w:tmpl w:val="0826E878"/>
    <w:lvl w:ilvl="0" w:tplc="B4BAE182">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7B4605F0"/>
    <w:multiLevelType w:val="hybridMultilevel"/>
    <w:tmpl w:val="CB8EBDF4"/>
    <w:lvl w:ilvl="0" w:tplc="08E6DFFA">
      <w:start w:val="1"/>
      <w:numFmt w:val="bulle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8"/>
  </w:num>
  <w:num w:numId="5">
    <w:abstractNumId w:val="6"/>
  </w:num>
  <w:num w:numId="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897C02F7-186A-470D-9288-8F1C745D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lang w:eastAsia="en-US"/>
    </w:rPr>
  </w:style>
  <w:style w:type="paragraph" w:styleId="BodyText2">
    <w:name w:val="Body Text 2"/>
    <w:basedOn w:val="Normal"/>
    <w:link w:val="BodyText2Char"/>
    <w:uiPriority w:val="99"/>
    <w:rPr>
      <w:color w:val="0000FF"/>
    </w:rPr>
  </w:style>
  <w:style w:type="character" w:customStyle="1" w:styleId="BodyText2Char">
    <w:name w:val="Body Text 2 Char"/>
    <w:basedOn w:val="DefaultParagraphFont"/>
    <w:link w:val="BodyText2"/>
    <w:uiPriority w:val="99"/>
    <w:semiHidden/>
    <w:locked/>
    <w:rPr>
      <w:rFonts w:cs="Times New Roman"/>
      <w:sz w:val="24"/>
      <w:szCs w:val="24"/>
      <w:lang w:eastAsia="en-US"/>
    </w:rPr>
  </w:style>
  <w:style w:type="paragraph" w:styleId="BodyTextIndent2">
    <w:name w:val="Body Text Indent 2"/>
    <w:basedOn w:val="Normal"/>
    <w:link w:val="BodyTextIndent2Char"/>
    <w:uiPriority w:val="99"/>
    <w:pPr>
      <w:ind w:left="720" w:hanging="720"/>
    </w:pPr>
  </w:style>
  <w:style w:type="character" w:customStyle="1" w:styleId="BodyTextIndent2Char">
    <w:name w:val="Body Text Indent 2 Char"/>
    <w:basedOn w:val="DefaultParagraphFont"/>
    <w:link w:val="BodyTextIndent2"/>
    <w:uiPriority w:val="99"/>
    <w:semiHidden/>
    <w:locked/>
    <w:rPr>
      <w:rFonts w:cs="Times New Roman"/>
      <w:sz w:val="24"/>
      <w:szCs w:val="24"/>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eastAsia="en-US"/>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locked/>
    <w:rPr>
      <w:rFonts w:cs="Times New Roman"/>
      <w:sz w:val="24"/>
      <w:szCs w:val="24"/>
      <w:lang w:eastAsia="en-US"/>
    </w:rPr>
  </w:style>
  <w:style w:type="paragraph" w:customStyle="1" w:styleId="DefaultParagraphFont1">
    <w:name w:val="Default Paragraph Font1"/>
    <w:next w:val="Normal"/>
    <w:uiPriority w:val="99"/>
    <w:pPr>
      <w:overflowPunct w:val="0"/>
      <w:autoSpaceDE w:val="0"/>
      <w:autoSpaceDN w:val="0"/>
      <w:adjustRightInd w:val="0"/>
      <w:textAlignment w:val="baseline"/>
    </w:pPr>
    <w:rPr>
      <w:rFonts w:ascii="CG Times" w:hAnsi="CG Times" w:cs="CG Times"/>
      <w:sz w:val="20"/>
      <w:szCs w:val="20"/>
      <w:lang w:eastAsia="en-US"/>
    </w:rPr>
  </w:style>
  <w:style w:type="paragraph" w:customStyle="1" w:styleId="NumberlistStartat1">
    <w:name w:val="Number list Start at 1"/>
    <w:basedOn w:val="BodyText"/>
    <w:uiPriority w:val="99"/>
    <w:pPr>
      <w:spacing w:after="0"/>
    </w:pPr>
    <w:rPr>
      <w:color w:val="00000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472F3980</Template>
  <TotalTime>1</TotalTime>
  <Pages>3</Pages>
  <Words>884</Words>
  <Characters>4976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Job Title:</vt:lpstr>
    </vt:vector>
  </TitlesOfParts>
  <Company>Lancashire County Council</Company>
  <LinksUpToDate>false</LinksUpToDate>
  <CharactersWithSpaces>5849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Worden Sports College</dc:creator>
  <cp:keywords/>
  <dc:description/>
  <cp:lastModifiedBy>Christopher Catherall</cp:lastModifiedBy>
  <cp:revision>2</cp:revision>
  <cp:lastPrinted>2008-09-11T17:06:00Z</cp:lastPrinted>
  <dcterms:created xsi:type="dcterms:W3CDTF">2018-01-23T08:24:00Z</dcterms:created>
  <dcterms:modified xsi:type="dcterms:W3CDTF">2018-01-23T08:24:00Z</dcterms:modified>
</cp:coreProperties>
</file>