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4E" w:rsidRDefault="00DD5E4E">
      <w:pPr>
        <w:rPr>
          <w:rFonts w:ascii="Arial" w:eastAsia="Arial" w:hAnsi="Arial" w:cs="Arial"/>
          <w:sz w:val="22"/>
          <w:szCs w:val="22"/>
        </w:rPr>
      </w:pPr>
      <w:bookmarkStart w:id="0" w:name="_GoBack"/>
      <w:bookmarkEnd w:id="0"/>
    </w:p>
    <w:p w:rsidR="00DD5E4E" w:rsidRDefault="004066EA">
      <w:pPr>
        <w:pBdr>
          <w:top w:val="single" w:sz="4" w:space="1" w:color="000000"/>
          <w:left w:val="single" w:sz="4" w:space="4" w:color="000000"/>
          <w:bottom w:val="single" w:sz="4" w:space="1" w:color="000000"/>
          <w:right w:val="single" w:sz="4" w:space="4" w:color="000000"/>
          <w:between w:val="nil"/>
        </w:pBdr>
        <w:shd w:val="clear" w:color="auto" w:fill="B3B3B3"/>
        <w:spacing w:line="360" w:lineRule="auto"/>
        <w:jc w:val="center"/>
        <w:rPr>
          <w:rFonts w:ascii="Arial" w:eastAsia="Arial" w:hAnsi="Arial" w:cs="Arial"/>
          <w:b/>
          <w:color w:val="000000"/>
          <w:sz w:val="36"/>
          <w:szCs w:val="36"/>
        </w:rPr>
      </w:pPr>
      <w:r>
        <w:rPr>
          <w:rFonts w:ascii="Arial" w:eastAsia="Arial" w:hAnsi="Arial" w:cs="Arial"/>
          <w:b/>
          <w:color w:val="000000"/>
          <w:sz w:val="36"/>
          <w:szCs w:val="36"/>
        </w:rPr>
        <w:t xml:space="preserve">CHENEY SCHOOL – PERSON SPECIFICATION </w:t>
      </w:r>
    </w:p>
    <w:p w:rsidR="00DD5E4E" w:rsidRDefault="00DD5E4E">
      <w:pPr>
        <w:jc w:val="both"/>
        <w:rPr>
          <w:rFonts w:ascii="Arial" w:eastAsia="Arial" w:hAnsi="Arial" w:cs="Arial"/>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6162"/>
      </w:tblGrid>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Job Title</w:t>
            </w:r>
          </w:p>
        </w:tc>
        <w:tc>
          <w:tcPr>
            <w:tcW w:w="6162" w:type="dxa"/>
          </w:tcPr>
          <w:p w:rsidR="00DD5E4E" w:rsidRDefault="005D0493" w:rsidP="005D0493">
            <w:pPr>
              <w:tabs>
                <w:tab w:val="left" w:pos="1701"/>
                <w:tab w:val="left" w:pos="4820"/>
                <w:tab w:val="left" w:pos="7371"/>
              </w:tabs>
              <w:spacing w:before="120" w:after="120"/>
              <w:jc w:val="both"/>
              <w:rPr>
                <w:rFonts w:ascii="Arial" w:eastAsia="Arial" w:hAnsi="Arial" w:cs="Arial"/>
                <w:sz w:val="22"/>
                <w:szCs w:val="22"/>
              </w:rPr>
            </w:pPr>
            <w:r>
              <w:rPr>
                <w:rFonts w:ascii="Arial" w:eastAsia="Arial" w:hAnsi="Arial" w:cs="Arial"/>
                <w:sz w:val="22"/>
                <w:szCs w:val="22"/>
              </w:rPr>
              <w:t>Teacher of Physics</w:t>
            </w:r>
          </w:p>
        </w:tc>
      </w:tr>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Faculty</w:t>
            </w:r>
          </w:p>
        </w:tc>
        <w:tc>
          <w:tcPr>
            <w:tcW w:w="6162" w:type="dxa"/>
          </w:tcPr>
          <w:p w:rsidR="00DD5E4E" w:rsidRDefault="004066EA">
            <w:pPr>
              <w:tabs>
                <w:tab w:val="left" w:pos="1701"/>
                <w:tab w:val="left" w:pos="4820"/>
                <w:tab w:val="left" w:pos="7371"/>
              </w:tabs>
              <w:spacing w:before="120" w:after="120"/>
              <w:jc w:val="both"/>
              <w:rPr>
                <w:rFonts w:ascii="Arial" w:eastAsia="Arial" w:hAnsi="Arial" w:cs="Arial"/>
                <w:sz w:val="22"/>
                <w:szCs w:val="22"/>
              </w:rPr>
            </w:pPr>
            <w:r>
              <w:rPr>
                <w:rFonts w:ascii="Arial" w:eastAsia="Arial" w:hAnsi="Arial" w:cs="Arial"/>
                <w:sz w:val="22"/>
                <w:szCs w:val="22"/>
              </w:rPr>
              <w:t xml:space="preserve">Faculty of Science </w:t>
            </w:r>
          </w:p>
        </w:tc>
      </w:tr>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Reporting to</w:t>
            </w:r>
          </w:p>
        </w:tc>
        <w:tc>
          <w:tcPr>
            <w:tcW w:w="6162" w:type="dxa"/>
          </w:tcPr>
          <w:p w:rsidR="00DD5E4E" w:rsidRDefault="004066EA">
            <w:pPr>
              <w:tabs>
                <w:tab w:val="left" w:pos="1701"/>
                <w:tab w:val="left" w:pos="4820"/>
                <w:tab w:val="left" w:pos="7371"/>
              </w:tabs>
              <w:spacing w:before="120" w:after="120"/>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Head of Faculty </w:t>
            </w:r>
          </w:p>
        </w:tc>
      </w:tr>
      <w:tr w:rsidR="00DD5E4E">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Grade</w:t>
            </w:r>
          </w:p>
        </w:tc>
        <w:tc>
          <w:tcPr>
            <w:tcW w:w="6162" w:type="dxa"/>
          </w:tcPr>
          <w:p w:rsidR="00DD5E4E" w:rsidRDefault="004066EA">
            <w:pPr>
              <w:tabs>
                <w:tab w:val="left" w:pos="1701"/>
                <w:tab w:val="left" w:pos="4820"/>
                <w:tab w:val="left" w:pos="7371"/>
              </w:tabs>
              <w:spacing w:before="120" w:after="120"/>
              <w:rPr>
                <w:rFonts w:ascii="Arial" w:eastAsia="Arial" w:hAnsi="Arial" w:cs="Arial"/>
                <w:sz w:val="22"/>
                <w:szCs w:val="22"/>
              </w:rPr>
            </w:pPr>
            <w:r>
              <w:rPr>
                <w:rFonts w:ascii="Arial" w:eastAsia="Arial" w:hAnsi="Arial" w:cs="Arial"/>
                <w:sz w:val="22"/>
                <w:szCs w:val="22"/>
              </w:rPr>
              <w:t>MPS or UPS</w:t>
            </w:r>
          </w:p>
        </w:tc>
      </w:tr>
    </w:tbl>
    <w:p w:rsidR="00DD5E4E" w:rsidRDefault="00DD5E4E">
      <w:pPr>
        <w:rPr>
          <w:rFonts w:ascii="Arial" w:eastAsia="Arial" w:hAnsi="Arial" w:cs="Arial"/>
          <w:sz w:val="22"/>
          <w:szCs w:val="22"/>
        </w:rPr>
      </w:pP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1"/>
        <w:gridCol w:w="2965"/>
        <w:gridCol w:w="1660"/>
      </w:tblGrid>
      <w:tr w:rsidR="00DD5E4E">
        <w:tc>
          <w:tcPr>
            <w:tcW w:w="3671"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Essential</w:t>
            </w:r>
          </w:p>
        </w:tc>
        <w:tc>
          <w:tcPr>
            <w:tcW w:w="2965"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Desirable</w:t>
            </w:r>
          </w:p>
        </w:tc>
        <w:tc>
          <w:tcPr>
            <w:tcW w:w="1660"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Evidence</w:t>
            </w: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Qualifications and experience:</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First degree.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Qualified teacher status.</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A continued commitment to own professional development.</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Teaching experience (including training practice) within the designated age range.</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Understanding of child-safeguarding issues and successful measures that promote and ensure the safe-guarding of children.</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Knowledge of current legislation, guidance and developments relating to the subject area.</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Successful practice in accordance with the specified teaching standards 2012 (as identified below).</w:t>
            </w:r>
          </w:p>
        </w:tc>
        <w:tc>
          <w:tcPr>
            <w:tcW w:w="2965"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Degree in a science-related subject.</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Involvement in and organisation of wider school activities, including extra-curricular activities.</w:t>
            </w: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Certificates</w:t>
            </w:r>
          </w:p>
          <w:p w:rsidR="00DD5E4E" w:rsidRDefault="004066EA">
            <w:pPr>
              <w:rPr>
                <w:rFonts w:ascii="Arial" w:eastAsia="Arial" w:hAnsi="Arial" w:cs="Arial"/>
                <w:sz w:val="22"/>
                <w:szCs w:val="22"/>
              </w:rPr>
            </w:pPr>
            <w:r>
              <w:rPr>
                <w:rFonts w:ascii="Arial" w:eastAsia="Arial" w:hAnsi="Arial" w:cs="Arial"/>
                <w:sz w:val="22"/>
                <w:szCs w:val="22"/>
              </w:rPr>
              <w:t>References</w:t>
            </w: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Sets high expectations and inspires, motivates and challenges all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Establishing a safe and stimulating environment for pupils, rooted in mutual </w:t>
            </w:r>
            <w:r>
              <w:rPr>
                <w:rFonts w:ascii="Arial" w:eastAsia="Arial" w:hAnsi="Arial" w:cs="Arial"/>
                <w:color w:val="000000"/>
                <w:sz w:val="22"/>
                <w:szCs w:val="22"/>
              </w:rPr>
              <w:lastRenderedPageBreak/>
              <w:t xml:space="preserve">respect.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Setting goals that stretch and challenge pupils of all backgrounds, abilities and dispositions.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Demonstrating consistently, the positive attitudes, values and behaviour which are expected of pupils.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lastRenderedPageBreak/>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lastRenderedPageBreak/>
              <w:t>Promotes good progress and outcomes by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Being accountable for pupils’ attainment, progress and outcomes.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Being aware of pupils’ capabilities and their prior knowledge, and plan teaching to build on these.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Guiding pupils to reflect on the progress they have made and their emerging needs.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Demonstrating knowledge and understanding of how pupils learn and how this impacts on teaching.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Encouraging pupils to take a responsible and conscientious attitude to their own work and study.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r>
              <w:rPr>
                <w:rFonts w:ascii="Arial" w:eastAsia="Arial" w:hAnsi="Arial" w:cs="Arial"/>
                <w:sz w:val="22"/>
                <w:szCs w:val="22"/>
              </w:rPr>
              <w:br/>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Demonstrates good subject and curriculum knowledge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a secure knowledge of the relevant subject(s) and curriculum areas, fostering and maintaining pupils’ interest in the subject, and addressing misunderstandings.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 critical understanding of developments in the </w:t>
            </w:r>
            <w:r>
              <w:rPr>
                <w:rFonts w:ascii="Arial" w:eastAsia="Arial" w:hAnsi="Arial" w:cs="Arial"/>
                <w:color w:val="000000"/>
                <w:sz w:val="22"/>
                <w:szCs w:val="22"/>
              </w:rPr>
              <w:lastRenderedPageBreak/>
              <w:t xml:space="preserve">subject and curriculum areas, and promoting the value of scholarship.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an understanding of and taking responsibility for promoting high standards of literacy, articulacy and the correct use of </w:t>
            </w:r>
            <w:proofErr w:type="gramStart"/>
            <w:r>
              <w:rPr>
                <w:rFonts w:ascii="Arial" w:eastAsia="Arial" w:hAnsi="Arial" w:cs="Arial"/>
                <w:color w:val="000000"/>
                <w:sz w:val="22"/>
                <w:szCs w:val="22"/>
              </w:rPr>
              <w:t>standard</w:t>
            </w:r>
            <w:proofErr w:type="gramEnd"/>
            <w:r>
              <w:rPr>
                <w:rFonts w:ascii="Arial" w:eastAsia="Arial" w:hAnsi="Arial" w:cs="Arial"/>
                <w:color w:val="000000"/>
                <w:sz w:val="22"/>
                <w:szCs w:val="22"/>
              </w:rPr>
              <w:t xml:space="preserve"> English, whatever the teacher’s specialist subject. </w:t>
            </w:r>
          </w:p>
        </w:tc>
        <w:tc>
          <w:tcPr>
            <w:tcW w:w="2965"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lastRenderedPageBreak/>
              <w:t>Having a secure knowledge of GCSE and A level curricula for physics and/or chemistry</w:t>
            </w:r>
          </w:p>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Plan and teach well-structured lessons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Imparting knowledge and developing understanding through effective use of lesson time.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Promoting a love of learning and children’s intellectual curiosity.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Setting homework and planning other out-of-class activities to consolidate and extend the knowledge and understanding pupils have acquired.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Reflecting systematically on the effectiveness of lessons and approaches to teaching.</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Contributing to the design and provision of an engaging curriculum within the relevant subject area(s).</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Adapt teaching to respond to the strengths and needs of all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Knowing when and how to differentiate appropriately, using approaches which enable pupils to be taught effectively.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lastRenderedPageBreak/>
              <w:t xml:space="preserve">Having a secure understanding of how a range of factors can inhibit pupils’ ability to learn, and how best to overcome these.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an awareness of the physical, social and intellectual development of children, and knowing how to adapt teaching to support pupils’ education at different stages of development.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Make accurate and productive use of assessment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Knowing and understanding how to assess the relevant subject and curriculum areas, including statutory assessment requirements.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Making use of formative and summative assessment to secure pupils’ progress.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Using relevant data to monitor progress, set targets, and plan subsequent lessons.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Giving pupils regular </w:t>
            </w:r>
            <w:r>
              <w:rPr>
                <w:rFonts w:ascii="Arial" w:eastAsia="Arial" w:hAnsi="Arial" w:cs="Arial"/>
                <w:color w:val="000000"/>
                <w:sz w:val="22"/>
                <w:szCs w:val="22"/>
              </w:rPr>
              <w:lastRenderedPageBreak/>
              <w:t>feedback, both orally and through accurate marking, and encouraging pupils to respond to the feedback.</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Manage behaviour effectively to ensure a good and safe learning environment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high expectations of behaviour, and establishing a framework for discipline with a range of strategies, using praise, sanctions and rewards consistently and fairly.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Managing classes effectively, using approaches which are appropriate to pupils’ needs in order to involve and motivate them.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Maintaining good relationships with pupils, exercising appropriate authority, and acting decisively when necessary.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Fulfil wider professional responsibilities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Making a positive contribution to the wider life and ethos of the school.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Developing effective professional relationships with colleagues, knowing how and when to draw on </w:t>
            </w:r>
            <w:r>
              <w:rPr>
                <w:rFonts w:ascii="Arial" w:eastAsia="Arial" w:hAnsi="Arial" w:cs="Arial"/>
                <w:color w:val="000000"/>
                <w:sz w:val="22"/>
                <w:szCs w:val="22"/>
              </w:rPr>
              <w:lastRenderedPageBreak/>
              <w:t xml:space="preserve">advice and specialist support deploying support staff effectively.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Taking responsibility for improving teaching through appropriate professional development, responding to advice and feedback from colleagues.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Communicating effectively with parents with regard to pupils’ achievements and well-being.</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bl>
    <w:p w:rsidR="00DD5E4E" w:rsidRDefault="00DD5E4E">
      <w:pPr>
        <w:widowControl w:val="0"/>
        <w:rPr>
          <w:rFonts w:ascii="Arial" w:eastAsia="Arial" w:hAnsi="Arial" w:cs="Arial"/>
          <w:sz w:val="22"/>
          <w:szCs w:val="22"/>
        </w:rPr>
      </w:pPr>
    </w:p>
    <w:p w:rsidR="00DD5E4E" w:rsidRDefault="00DD5E4E">
      <w:pPr>
        <w:rPr>
          <w:rFonts w:ascii="Arial" w:eastAsia="Arial" w:hAnsi="Arial" w:cs="Arial"/>
          <w:b/>
          <w:sz w:val="22"/>
          <w:szCs w:val="22"/>
        </w:rPr>
      </w:pPr>
    </w:p>
    <w:sectPr w:rsidR="00DD5E4E">
      <w:pgSz w:w="11906" w:h="16838"/>
      <w:pgMar w:top="1440" w:right="1800" w:bottom="1440" w:left="180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57A"/>
    <w:multiLevelType w:val="multilevel"/>
    <w:tmpl w:val="6C02EBA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DC34411"/>
    <w:multiLevelType w:val="multilevel"/>
    <w:tmpl w:val="E0E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E"/>
    <w:rsid w:val="003D295A"/>
    <w:rsid w:val="004066EA"/>
    <w:rsid w:val="005D0493"/>
    <w:rsid w:val="007C06C5"/>
    <w:rsid w:val="00DD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D1F3F-C894-42D2-A920-B33E1C2F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Hegedus</dc:creator>
  <cp:lastModifiedBy>Ben Hegedus</cp:lastModifiedBy>
  <cp:revision>2</cp:revision>
  <dcterms:created xsi:type="dcterms:W3CDTF">2019-07-18T08:25:00Z</dcterms:created>
  <dcterms:modified xsi:type="dcterms:W3CDTF">2019-07-18T08:25:00Z</dcterms:modified>
</cp:coreProperties>
</file>