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45C14">
        <w:rPr>
          <w:rFonts w:ascii="Calibri" w:hAnsi="Calibri" w:cs="Calibri"/>
          <w:b/>
          <w:szCs w:val="24"/>
        </w:rPr>
        <w:t>Technology Technician</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045C14">
        <w:rPr>
          <w:rFonts w:ascii="Calibri" w:hAnsi="Calibri" w:cs="Calibri"/>
          <w:b/>
          <w:szCs w:val="24"/>
        </w:rPr>
        <w:t>NJC03 – NJC0</w:t>
      </w:r>
      <w:r w:rsidR="006A2C34">
        <w:rPr>
          <w:rFonts w:ascii="Calibri" w:hAnsi="Calibri" w:cs="Calibri"/>
          <w:b/>
          <w:szCs w:val="24"/>
        </w:rPr>
        <w:t>7</w:t>
      </w:r>
    </w:p>
    <w:p w:rsidR="0056537F" w:rsidRPr="001354E0" w:rsidRDefault="0056537F" w:rsidP="006C73D7">
      <w:pPr>
        <w:pStyle w:val="NoSpacing"/>
        <w:rPr>
          <w:rFonts w:ascii="Calibri" w:hAnsi="Calibri" w:cs="Calibri"/>
          <w:b/>
          <w:szCs w:val="24"/>
        </w:rPr>
      </w:pPr>
    </w:p>
    <w:p w:rsidR="006E5F63" w:rsidRDefault="0056537F" w:rsidP="00DD1A93">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40453B">
        <w:rPr>
          <w:rFonts w:ascii="Calibri" w:hAnsi="Calibri" w:cs="Calibri"/>
          <w:b/>
          <w:szCs w:val="24"/>
        </w:rPr>
        <w:t>37 hours per week, 39 weeks per year (Term time only)</w:t>
      </w:r>
    </w:p>
    <w:p w:rsidR="0040453B" w:rsidRDefault="0040453B" w:rsidP="0040453B">
      <w:pPr>
        <w:pStyle w:val="NoSpacing"/>
        <w:ind w:left="2160"/>
        <w:rPr>
          <w:rFonts w:ascii="Calibri" w:hAnsi="Calibri" w:cs="Calibri"/>
          <w:b/>
          <w:szCs w:val="24"/>
        </w:rPr>
      </w:pPr>
      <w:r>
        <w:rPr>
          <w:rFonts w:ascii="Calibri" w:hAnsi="Calibri" w:cs="Calibri"/>
          <w:b/>
          <w:szCs w:val="24"/>
        </w:rPr>
        <w:t xml:space="preserve">Monday – Thursday 8.00am – 4.00pm (exclusive of </w:t>
      </w:r>
      <w:proofErr w:type="gramStart"/>
      <w:r>
        <w:rPr>
          <w:rFonts w:ascii="Calibri" w:hAnsi="Calibri" w:cs="Calibri"/>
          <w:b/>
          <w:szCs w:val="24"/>
        </w:rPr>
        <w:t>30 minute</w:t>
      </w:r>
      <w:proofErr w:type="gramEnd"/>
      <w:r>
        <w:rPr>
          <w:rFonts w:ascii="Calibri" w:hAnsi="Calibri" w:cs="Calibri"/>
          <w:b/>
          <w:szCs w:val="24"/>
        </w:rPr>
        <w:t xml:space="preserve"> lunch break)</w:t>
      </w:r>
    </w:p>
    <w:p w:rsidR="0040453B" w:rsidRDefault="0040453B" w:rsidP="0040453B">
      <w:pPr>
        <w:pStyle w:val="NoSpacing"/>
        <w:ind w:left="2160"/>
        <w:rPr>
          <w:rFonts w:ascii="Calibri" w:hAnsi="Calibri" w:cs="Calibri"/>
          <w:b/>
          <w:szCs w:val="24"/>
        </w:rPr>
      </w:pPr>
      <w:r>
        <w:rPr>
          <w:rFonts w:ascii="Calibri" w:hAnsi="Calibri" w:cs="Calibri"/>
          <w:b/>
          <w:szCs w:val="24"/>
        </w:rPr>
        <w:t xml:space="preserve">Fridays 8.00am – 3.30pm (exclusive of </w:t>
      </w:r>
      <w:proofErr w:type="gramStart"/>
      <w:r>
        <w:rPr>
          <w:rFonts w:ascii="Calibri" w:hAnsi="Calibri" w:cs="Calibri"/>
          <w:b/>
          <w:szCs w:val="24"/>
        </w:rPr>
        <w:t>30 minute</w:t>
      </w:r>
      <w:proofErr w:type="gramEnd"/>
      <w:r>
        <w:rPr>
          <w:rFonts w:ascii="Calibri" w:hAnsi="Calibri" w:cs="Calibri"/>
          <w:b/>
          <w:szCs w:val="24"/>
        </w:rPr>
        <w:t xml:space="preserve"> lunch break)</w:t>
      </w:r>
    </w:p>
    <w:p w:rsidR="006C73D7" w:rsidRPr="001354E0" w:rsidRDefault="006C73D7" w:rsidP="006C73D7">
      <w:pPr>
        <w:pStyle w:val="NoSpacing"/>
        <w:rPr>
          <w:rFonts w:ascii="Calibri" w:hAnsi="Calibri" w:cs="Calibri"/>
          <w:b/>
          <w:szCs w:val="24"/>
        </w:rPr>
      </w:pPr>
    </w:p>
    <w:p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40453B">
        <w:rPr>
          <w:rFonts w:ascii="Calibri" w:hAnsi="Calibri" w:cs="Calibri"/>
          <w:b/>
          <w:szCs w:val="24"/>
        </w:rPr>
        <w:t>Faculty Leader for Art, Design and Technology</w:t>
      </w:r>
    </w:p>
    <w:p w:rsidR="0056537F" w:rsidRPr="006C73D7" w:rsidRDefault="0056537F" w:rsidP="00872955">
      <w:pPr>
        <w:rPr>
          <w:rFonts w:ascii="Calibri" w:hAnsi="Calibri"/>
          <w:b/>
          <w:szCs w:val="24"/>
        </w:rPr>
      </w:pPr>
    </w:p>
    <w:p w:rsidR="00C2593B" w:rsidRDefault="006C73D7" w:rsidP="00C2593B">
      <w:pPr>
        <w:jc w:val="both"/>
        <w:rPr>
          <w:rFonts w:ascii="Calibri" w:hAnsi="Calibri"/>
          <w:b/>
          <w:szCs w:val="24"/>
        </w:rPr>
      </w:pPr>
      <w:r w:rsidRPr="006C73D7">
        <w:rPr>
          <w:rFonts w:ascii="Calibri" w:hAnsi="Calibri"/>
          <w:b/>
          <w:szCs w:val="24"/>
        </w:rPr>
        <w:t>Purpose of Role</w:t>
      </w:r>
    </w:p>
    <w:p w:rsidR="0093178A" w:rsidRPr="0040453B" w:rsidRDefault="0040453B" w:rsidP="0040453B">
      <w:pPr>
        <w:pStyle w:val="ListParagraph"/>
        <w:numPr>
          <w:ilvl w:val="0"/>
          <w:numId w:val="30"/>
        </w:numPr>
        <w:jc w:val="both"/>
        <w:rPr>
          <w:rFonts w:ascii="Calibri" w:hAnsi="Calibri"/>
          <w:szCs w:val="24"/>
        </w:rPr>
      </w:pPr>
      <w:r>
        <w:rPr>
          <w:rFonts w:ascii="Calibri" w:hAnsi="Calibri"/>
          <w:szCs w:val="24"/>
        </w:rPr>
        <w:t>To provide support in the Product Design area of the Art, Design and Technology faculty.</w:t>
      </w:r>
    </w:p>
    <w:p w:rsidR="00F741CF" w:rsidRPr="001B054A" w:rsidRDefault="00F741CF" w:rsidP="0093178A">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1B054A" w:rsidRDefault="0040453B" w:rsidP="0093178A">
      <w:pPr>
        <w:rPr>
          <w:rFonts w:ascii="Calibri" w:hAnsi="Calibri"/>
          <w:color w:val="000000"/>
          <w:szCs w:val="24"/>
        </w:rPr>
      </w:pPr>
      <w:r>
        <w:rPr>
          <w:rFonts w:ascii="Calibri" w:hAnsi="Calibri"/>
          <w:color w:val="000000"/>
          <w:szCs w:val="24"/>
        </w:rPr>
        <w:t>Technology Support</w:t>
      </w:r>
    </w:p>
    <w:p w:rsidR="0040453B" w:rsidRDefault="0040453B" w:rsidP="0093178A">
      <w:pPr>
        <w:rPr>
          <w:rFonts w:ascii="Calibri" w:hAnsi="Calibri"/>
          <w:color w:val="000000"/>
          <w:szCs w:val="24"/>
        </w:rPr>
      </w:pPr>
      <w:r>
        <w:rPr>
          <w:rFonts w:ascii="Calibri" w:hAnsi="Calibri"/>
          <w:color w:val="000000"/>
          <w:szCs w:val="24"/>
        </w:rPr>
        <w:t>Wider Professional Responsibilities</w:t>
      </w:r>
    </w:p>
    <w:p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make a positive contribution to the wider life and ethos of the school.</w:t>
      </w:r>
    </w:p>
    <w:p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develop effective professional relationships with colleagues, knowing how and when to draw on advice and specialist support.</w:t>
      </w:r>
    </w:p>
    <w:p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contribute to school Quality Assurance processes, Self-Evaluation and School Improvement Planning.</w:t>
      </w:r>
    </w:p>
    <w:p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be part of the cover/buddy rota for support staff</w:t>
      </w:r>
    </w:p>
    <w:p w:rsidR="004A1CE9" w:rsidRPr="004A1CE9" w:rsidRDefault="004A1CE9" w:rsidP="004A1CE9">
      <w:pPr>
        <w:pStyle w:val="ListParagraph"/>
        <w:numPr>
          <w:ilvl w:val="0"/>
          <w:numId w:val="30"/>
        </w:numPr>
        <w:rPr>
          <w:rFonts w:ascii="Calibri" w:hAnsi="Calibri"/>
          <w:color w:val="000000"/>
          <w:szCs w:val="24"/>
        </w:rPr>
      </w:pPr>
      <w:r w:rsidRPr="004A1CE9">
        <w:rPr>
          <w:rFonts w:ascii="Calibri" w:hAnsi="Calibri"/>
          <w:color w:val="000000"/>
          <w:szCs w:val="24"/>
        </w:rPr>
        <w:t>To be part of the cover / buddy rota for First Aid provision (training will be provided)</w:t>
      </w:r>
      <w:bookmarkStart w:id="0" w:name="_GoBack"/>
      <w:bookmarkEnd w:id="0"/>
    </w:p>
    <w:p w:rsidR="0040453B" w:rsidRDefault="0040453B" w:rsidP="0040453B">
      <w:pPr>
        <w:rPr>
          <w:rFonts w:ascii="Calibri" w:hAnsi="Calibri"/>
          <w:color w:val="000000"/>
          <w:szCs w:val="24"/>
        </w:rPr>
      </w:pPr>
    </w:p>
    <w:p w:rsidR="0040453B" w:rsidRDefault="0040453B" w:rsidP="0040453B">
      <w:pPr>
        <w:rPr>
          <w:rFonts w:ascii="Calibri" w:hAnsi="Calibri"/>
          <w:color w:val="000000"/>
          <w:szCs w:val="24"/>
        </w:rPr>
      </w:pPr>
      <w:r>
        <w:rPr>
          <w:rFonts w:ascii="Calibri" w:hAnsi="Calibri"/>
          <w:color w:val="000000"/>
          <w:szCs w:val="24"/>
        </w:rPr>
        <w:t>Technician Role</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work with teaching staff within the product design area of Technology in order to assist students in learning activities in the areas of:</w:t>
      </w:r>
    </w:p>
    <w:p w:rsidR="0040453B" w:rsidRDefault="0040453B" w:rsidP="0040453B">
      <w:pPr>
        <w:pStyle w:val="ListParagraph"/>
        <w:numPr>
          <w:ilvl w:val="1"/>
          <w:numId w:val="31"/>
        </w:numPr>
        <w:rPr>
          <w:rFonts w:ascii="Calibri" w:hAnsi="Calibri"/>
          <w:color w:val="000000"/>
          <w:szCs w:val="24"/>
        </w:rPr>
      </w:pPr>
      <w:r>
        <w:rPr>
          <w:rFonts w:ascii="Calibri" w:hAnsi="Calibri"/>
          <w:color w:val="000000"/>
          <w:szCs w:val="24"/>
        </w:rPr>
        <w:t>Workshop (Wood, Metal, Plastics)</w:t>
      </w:r>
    </w:p>
    <w:p w:rsidR="0040453B" w:rsidRDefault="0040453B" w:rsidP="0040453B">
      <w:pPr>
        <w:pStyle w:val="ListParagraph"/>
        <w:numPr>
          <w:ilvl w:val="1"/>
          <w:numId w:val="31"/>
        </w:numPr>
        <w:rPr>
          <w:rFonts w:ascii="Calibri" w:hAnsi="Calibri"/>
          <w:color w:val="000000"/>
          <w:szCs w:val="24"/>
        </w:rPr>
      </w:pPr>
      <w:r>
        <w:rPr>
          <w:rFonts w:ascii="Calibri" w:hAnsi="Calibri"/>
          <w:color w:val="000000"/>
          <w:szCs w:val="24"/>
        </w:rPr>
        <w:t>Graphics</w:t>
      </w:r>
    </w:p>
    <w:p w:rsidR="0040453B" w:rsidRDefault="0040453B" w:rsidP="0040453B">
      <w:pPr>
        <w:pStyle w:val="ListParagraph"/>
        <w:numPr>
          <w:ilvl w:val="1"/>
          <w:numId w:val="31"/>
        </w:numPr>
        <w:rPr>
          <w:rFonts w:ascii="Calibri" w:hAnsi="Calibri"/>
          <w:color w:val="000000"/>
          <w:szCs w:val="24"/>
        </w:rPr>
      </w:pPr>
      <w:r>
        <w:rPr>
          <w:rFonts w:ascii="Calibri" w:hAnsi="Calibri"/>
          <w:color w:val="000000"/>
          <w:szCs w:val="24"/>
        </w:rPr>
        <w:t>Electronics</w:t>
      </w:r>
    </w:p>
    <w:p w:rsidR="0040453B" w:rsidRDefault="0040453B" w:rsidP="0040453B">
      <w:pPr>
        <w:pStyle w:val="ListParagraph"/>
        <w:numPr>
          <w:ilvl w:val="1"/>
          <w:numId w:val="31"/>
        </w:numPr>
        <w:rPr>
          <w:rFonts w:ascii="Calibri" w:hAnsi="Calibri"/>
          <w:color w:val="000000"/>
          <w:szCs w:val="24"/>
        </w:rPr>
      </w:pPr>
      <w:r>
        <w:rPr>
          <w:rFonts w:ascii="Calibri" w:hAnsi="Calibri"/>
          <w:color w:val="000000"/>
          <w:szCs w:val="24"/>
        </w:rPr>
        <w:t>Control</w:t>
      </w:r>
    </w:p>
    <w:p w:rsidR="0040453B" w:rsidRDefault="0040453B" w:rsidP="0040453B">
      <w:pPr>
        <w:pStyle w:val="ListParagraph"/>
        <w:numPr>
          <w:ilvl w:val="1"/>
          <w:numId w:val="31"/>
        </w:numPr>
        <w:rPr>
          <w:rFonts w:ascii="Calibri" w:hAnsi="Calibri"/>
          <w:color w:val="000000"/>
          <w:szCs w:val="24"/>
        </w:rPr>
      </w:pPr>
      <w:r>
        <w:rPr>
          <w:rFonts w:ascii="Calibri" w:hAnsi="Calibri"/>
          <w:color w:val="000000"/>
          <w:szCs w:val="24"/>
        </w:rPr>
        <w:t>CAD CAM</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ensure equipment, resources and materials are ready for use by students.</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ensure equipment</w:t>
      </w:r>
      <w:r w:rsidR="00724F0B">
        <w:rPr>
          <w:rFonts w:ascii="Calibri" w:hAnsi="Calibri"/>
          <w:color w:val="000000"/>
          <w:szCs w:val="24"/>
        </w:rPr>
        <w:t xml:space="preserve">, </w:t>
      </w:r>
      <w:r>
        <w:rPr>
          <w:rFonts w:ascii="Calibri" w:hAnsi="Calibri"/>
          <w:color w:val="000000"/>
          <w:szCs w:val="24"/>
        </w:rPr>
        <w:t>resources etc. are prepared and ready for use for the teaching staff.</w:t>
      </w:r>
    </w:p>
    <w:p w:rsidR="00724F0B" w:rsidRDefault="00724F0B" w:rsidP="0040453B">
      <w:pPr>
        <w:pStyle w:val="ListParagraph"/>
        <w:numPr>
          <w:ilvl w:val="0"/>
          <w:numId w:val="31"/>
        </w:numPr>
        <w:rPr>
          <w:rFonts w:ascii="Calibri" w:hAnsi="Calibri"/>
          <w:color w:val="000000"/>
          <w:szCs w:val="24"/>
        </w:rPr>
      </w:pPr>
      <w:r>
        <w:rPr>
          <w:rFonts w:ascii="Calibri" w:hAnsi="Calibri"/>
          <w:color w:val="000000"/>
          <w:szCs w:val="24"/>
        </w:rPr>
        <w:t>To demonstrate use of tools or necessary machinery to students where requested.</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maintain and clean paints, brushes and pallets in the area.</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be responsible for the general hygiene and tidiness of technology areas.</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work with the Technology staff in the management and general organisation and running of the workshops and rooms.</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lastRenderedPageBreak/>
        <w:t>To work alongside students and staff and assist as directed by the teaching staff responsible for the lesson as main duties allow.</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carry out stock control, monitoring and reporting for each specialist area.</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assist in the design, development and manufacture of a range of teaching related resources and equipment.</w:t>
      </w:r>
    </w:p>
    <w:p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 xml:space="preserve">To assist in the maintenance management and effective operation of ICT related </w:t>
      </w:r>
      <w:r w:rsidR="00994368">
        <w:rPr>
          <w:rFonts w:ascii="Calibri" w:hAnsi="Calibri"/>
          <w:color w:val="000000"/>
          <w:szCs w:val="24"/>
        </w:rPr>
        <w:t>resources within the area.</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understand and comply with the requirements of Health and Safety regulations for the area as set out in the relevant legislation and school documentation relating specifically to the area.</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in the maintaining and risk assessment procedures for the area.</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with ordering and checking of deliveries and invoices</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organise all the display work in the areas including gathering the work together and making suitable labels.</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undertake any other reasonable duties within the overall function, commensurate with the grading level and responsibility of the job.</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undertake PAT testing within the curriculum area on an annual basis and pass results to the site manager.</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maintain computers and peripheral equipment (within the technology department) in a clean and functional order.</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in other areas of Technology as and when required.</w:t>
      </w:r>
    </w:p>
    <w:p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contribute to a programme of staff development for members of the teaching and support staff.</w:t>
      </w:r>
    </w:p>
    <w:p w:rsidR="00994368" w:rsidRDefault="00994368" w:rsidP="00994368">
      <w:pPr>
        <w:rPr>
          <w:rFonts w:ascii="Calibri" w:hAnsi="Calibri"/>
          <w:color w:val="000000"/>
          <w:szCs w:val="24"/>
        </w:rPr>
      </w:pPr>
    </w:p>
    <w:p w:rsidR="00994368" w:rsidRDefault="00994368" w:rsidP="00994368">
      <w:pPr>
        <w:rPr>
          <w:rFonts w:ascii="Calibri" w:hAnsi="Calibri"/>
          <w:color w:val="000000"/>
          <w:szCs w:val="24"/>
        </w:rPr>
      </w:pPr>
      <w:r>
        <w:rPr>
          <w:rFonts w:ascii="Calibri" w:hAnsi="Calibri"/>
          <w:color w:val="000000"/>
          <w:szCs w:val="24"/>
        </w:rPr>
        <w:t>Personal and Professional Conduct</w:t>
      </w:r>
    </w:p>
    <w:p w:rsidR="00994368" w:rsidRDefault="00994368" w:rsidP="00994368">
      <w:pPr>
        <w:rPr>
          <w:rFonts w:ascii="Calibri" w:hAnsi="Calibri"/>
          <w:color w:val="000000"/>
          <w:szCs w:val="24"/>
        </w:rPr>
      </w:pPr>
      <w:r>
        <w:rPr>
          <w:rFonts w:ascii="Calibri" w:hAnsi="Calibri"/>
          <w:color w:val="000000"/>
          <w:szCs w:val="24"/>
        </w:rPr>
        <w:t>A Technology Technician is expected to demonstrate consistently high standards of personal and professional conduct. The following statements define the behaviour and attitudes which set the required standard for conduct throughout a Technician’s career.</w:t>
      </w:r>
    </w:p>
    <w:p w:rsidR="00994368" w:rsidRDefault="00994368" w:rsidP="00994368">
      <w:pPr>
        <w:pStyle w:val="ListParagraph"/>
        <w:numPr>
          <w:ilvl w:val="0"/>
          <w:numId w:val="32"/>
        </w:numPr>
        <w:rPr>
          <w:rFonts w:ascii="Calibri" w:hAnsi="Calibri"/>
          <w:color w:val="000000"/>
          <w:szCs w:val="24"/>
        </w:rPr>
      </w:pPr>
      <w:r>
        <w:rPr>
          <w:rFonts w:ascii="Calibri" w:hAnsi="Calibri"/>
          <w:color w:val="000000"/>
          <w:szCs w:val="24"/>
        </w:rPr>
        <w:t>Technology Technicians uphold public trust in the profession and maintain high standards of ethics and behaviour, within and outside school, by:</w:t>
      </w:r>
    </w:p>
    <w:p w:rsidR="00994368" w:rsidRDefault="00994368" w:rsidP="00994368">
      <w:pPr>
        <w:pStyle w:val="ListParagraph"/>
        <w:numPr>
          <w:ilvl w:val="1"/>
          <w:numId w:val="32"/>
        </w:numPr>
        <w:rPr>
          <w:rFonts w:ascii="Calibri" w:hAnsi="Calibri"/>
          <w:color w:val="000000"/>
          <w:szCs w:val="24"/>
        </w:rPr>
      </w:pPr>
      <w:r>
        <w:rPr>
          <w:rFonts w:ascii="Calibri" w:hAnsi="Calibri"/>
          <w:color w:val="000000"/>
          <w:szCs w:val="24"/>
        </w:rPr>
        <w:t>Treating students with dignity, building relationships rooted in mutual respect, and at all times observing proper boundaries appropriate to their professional position.</w:t>
      </w:r>
    </w:p>
    <w:p w:rsidR="00C85299" w:rsidRDefault="00C85299" w:rsidP="00994368">
      <w:pPr>
        <w:pStyle w:val="ListParagraph"/>
        <w:numPr>
          <w:ilvl w:val="1"/>
          <w:numId w:val="32"/>
        </w:numPr>
        <w:rPr>
          <w:rFonts w:ascii="Calibri" w:hAnsi="Calibri"/>
          <w:color w:val="000000"/>
          <w:szCs w:val="24"/>
        </w:rPr>
      </w:pPr>
      <w:r>
        <w:rPr>
          <w:rFonts w:ascii="Calibri" w:hAnsi="Calibri"/>
          <w:color w:val="000000"/>
          <w:szCs w:val="24"/>
        </w:rPr>
        <w:t>Having regard for the need to safeguard students’ well-being, in accordance with statutory provisions.</w:t>
      </w:r>
    </w:p>
    <w:p w:rsidR="00C85299" w:rsidRDefault="00C85299" w:rsidP="00994368">
      <w:pPr>
        <w:pStyle w:val="ListParagraph"/>
        <w:numPr>
          <w:ilvl w:val="1"/>
          <w:numId w:val="32"/>
        </w:numPr>
        <w:rPr>
          <w:rFonts w:ascii="Calibri" w:hAnsi="Calibri"/>
          <w:color w:val="000000"/>
          <w:szCs w:val="24"/>
        </w:rPr>
      </w:pPr>
      <w:r>
        <w:rPr>
          <w:rFonts w:ascii="Calibri" w:hAnsi="Calibri"/>
          <w:color w:val="000000"/>
          <w:szCs w:val="24"/>
        </w:rPr>
        <w:t>Showing tolerance of and respect for the rights of others</w:t>
      </w:r>
      <w:r w:rsidR="00AF7466">
        <w:rPr>
          <w:rFonts w:ascii="Calibri" w:hAnsi="Calibri"/>
          <w:color w:val="000000"/>
          <w:szCs w:val="24"/>
        </w:rPr>
        <w:t>.</w:t>
      </w:r>
    </w:p>
    <w:p w:rsidR="00AF7466" w:rsidRDefault="00AF7466" w:rsidP="00994368">
      <w:pPr>
        <w:pStyle w:val="ListParagraph"/>
        <w:numPr>
          <w:ilvl w:val="1"/>
          <w:numId w:val="32"/>
        </w:numPr>
        <w:rPr>
          <w:rFonts w:ascii="Calibri" w:hAnsi="Calibri"/>
          <w:color w:val="000000"/>
          <w:szCs w:val="24"/>
        </w:rPr>
      </w:pPr>
      <w:r>
        <w:rPr>
          <w:rFonts w:ascii="Calibri" w:hAnsi="Calibri"/>
          <w:color w:val="000000"/>
          <w:szCs w:val="24"/>
        </w:rPr>
        <w:t>Not undermining fundamental British values, including democracy, the rule of law, individual liberty and mutual respect, and tolerance of those with different faiths and beliefs.</w:t>
      </w:r>
    </w:p>
    <w:p w:rsidR="00AF7466" w:rsidRDefault="00AF7466" w:rsidP="00AF7466">
      <w:pPr>
        <w:pStyle w:val="ListParagraph"/>
        <w:numPr>
          <w:ilvl w:val="1"/>
          <w:numId w:val="32"/>
        </w:numPr>
        <w:rPr>
          <w:rFonts w:ascii="Calibri" w:hAnsi="Calibri"/>
          <w:color w:val="000000"/>
          <w:szCs w:val="24"/>
        </w:rPr>
      </w:pPr>
      <w:r>
        <w:rPr>
          <w:rFonts w:ascii="Calibri" w:hAnsi="Calibri"/>
          <w:color w:val="000000"/>
          <w:szCs w:val="24"/>
        </w:rPr>
        <w:t>Ensuring that personal beliefs are not expressed in ways which exploit students’ vulnerability or might lead them to break the law.</w:t>
      </w:r>
    </w:p>
    <w:p w:rsidR="00AF7466" w:rsidRDefault="00AF7466" w:rsidP="00AF7466">
      <w:pPr>
        <w:pStyle w:val="ListParagraph"/>
        <w:numPr>
          <w:ilvl w:val="0"/>
          <w:numId w:val="32"/>
        </w:numPr>
        <w:rPr>
          <w:rFonts w:ascii="Calibri" w:hAnsi="Calibri"/>
          <w:color w:val="000000"/>
          <w:szCs w:val="24"/>
        </w:rPr>
      </w:pPr>
      <w:r>
        <w:rPr>
          <w:rFonts w:ascii="Calibri" w:hAnsi="Calibri"/>
          <w:color w:val="000000"/>
          <w:szCs w:val="24"/>
        </w:rPr>
        <w:t>Technicians must have proper and professional regard for the ethos, policies and practices of the school in which they work, and maintain high standards in their own attendance and punctuality.</w:t>
      </w:r>
    </w:p>
    <w:p w:rsidR="00AF7466" w:rsidRPr="00AF7466" w:rsidRDefault="00AF7466" w:rsidP="00AF7466">
      <w:pPr>
        <w:pStyle w:val="ListParagraph"/>
        <w:numPr>
          <w:ilvl w:val="0"/>
          <w:numId w:val="32"/>
        </w:numPr>
        <w:rPr>
          <w:rFonts w:ascii="Calibri" w:hAnsi="Calibri"/>
          <w:color w:val="000000"/>
          <w:szCs w:val="24"/>
        </w:rPr>
      </w:pPr>
      <w:r>
        <w:rPr>
          <w:rFonts w:ascii="Calibri" w:hAnsi="Calibri"/>
          <w:color w:val="000000"/>
          <w:szCs w:val="24"/>
        </w:rPr>
        <w:t xml:space="preserve">Technicians must </w:t>
      </w:r>
      <w:proofErr w:type="gramStart"/>
      <w:r>
        <w:rPr>
          <w:rFonts w:ascii="Calibri" w:hAnsi="Calibri"/>
          <w:color w:val="000000"/>
          <w:szCs w:val="24"/>
        </w:rPr>
        <w:t>have an understanding of</w:t>
      </w:r>
      <w:proofErr w:type="gramEnd"/>
      <w:r>
        <w:rPr>
          <w:rFonts w:ascii="Calibri" w:hAnsi="Calibri"/>
          <w:color w:val="000000"/>
          <w:szCs w:val="24"/>
        </w:rPr>
        <w:t>, and always act within, statutory frameworks.</w:t>
      </w:r>
    </w:p>
    <w:p w:rsidR="00E049EB" w:rsidRDefault="00E049EB" w:rsidP="00E049EB">
      <w:pPr>
        <w:rPr>
          <w:rFonts w:ascii="Calibri" w:hAnsi="Calibri"/>
          <w:i/>
          <w:color w:val="000000"/>
          <w:szCs w:val="24"/>
        </w:rPr>
      </w:pPr>
    </w:p>
    <w:p w:rsidR="00AF7466" w:rsidRDefault="00AF7466" w:rsidP="004F06C7">
      <w:pPr>
        <w:ind w:left="284" w:hanging="284"/>
        <w:jc w:val="both"/>
        <w:rPr>
          <w:rFonts w:ascii="Calibri" w:hAnsi="Calibri"/>
          <w:b/>
          <w:color w:val="000000"/>
          <w:szCs w:val="24"/>
        </w:rPr>
      </w:pPr>
    </w:p>
    <w:p w:rsidR="006C73D7" w:rsidRDefault="00AF7466" w:rsidP="004F06C7">
      <w:pPr>
        <w:ind w:left="284" w:hanging="284"/>
        <w:jc w:val="both"/>
        <w:rPr>
          <w:rFonts w:ascii="Calibri" w:hAnsi="Calibri"/>
          <w:color w:val="000000"/>
          <w:szCs w:val="24"/>
        </w:rPr>
      </w:pPr>
      <w:r w:rsidRPr="00AF7466">
        <w:rPr>
          <w:rFonts w:ascii="Calibri" w:hAnsi="Calibri"/>
          <w:color w:val="000000"/>
          <w:szCs w:val="24"/>
        </w:rPr>
        <w:t>Other</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Participate in the academy appraisal process and undertake professional development is required.</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Be aware of and comply with all Academy policies including in particular Health and Safety and Safeguarding.</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Ensure that you act according to the principles of best practice, and in accordance with the requirements of the Keeping Children Safe in Education guidance, as issued by the Department for Education.</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 xml:space="preserve">All </w:t>
      </w:r>
      <w:proofErr w:type="spellStart"/>
      <w:proofErr w:type="gramStart"/>
      <w:r>
        <w:rPr>
          <w:rFonts w:ascii="Calibri" w:hAnsi="Calibri"/>
          <w:color w:val="000000"/>
          <w:szCs w:val="24"/>
        </w:rPr>
        <w:t>non teaching</w:t>
      </w:r>
      <w:proofErr w:type="spellEnd"/>
      <w:proofErr w:type="gramEnd"/>
      <w:r>
        <w:rPr>
          <w:rFonts w:ascii="Calibri" w:hAnsi="Calibri"/>
          <w:color w:val="000000"/>
          <w:szCs w:val="24"/>
        </w:rPr>
        <w:t xml:space="preserve"> staff will work on Teacher Training Days.</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Holiday leave will be in line with the policy for non-teaching staff i.e. for this role Annual leave cannot be taken during term time.</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Work in a professional manner and with integrity and maintain confidentiality of records and information.</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Maintain up to date knowledge in line with national changes and legislation as appropriate to the role.</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Adhere to all internal and external deadlines.</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Contribute to the overall aims and ethos of the Spencer Academies Trust and establish constructive relationships with nominated Academies and other agencies as appropriate to the role.</w:t>
      </w:r>
    </w:p>
    <w:p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All job descriptions and subject to change as the needs of the Academy changes.</w:t>
      </w:r>
    </w:p>
    <w:p w:rsidR="00AF7466" w:rsidRP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These above-mentioned duties are neither exclusive nor exhaustive, the post-holder may be required to carry out other duties as required by the Trust.</w:t>
      </w:r>
    </w:p>
    <w:p w:rsidR="00AF7466" w:rsidRDefault="00AF7466" w:rsidP="004F06C7">
      <w:pPr>
        <w:ind w:left="284" w:hanging="284"/>
        <w:jc w:val="both"/>
        <w:rPr>
          <w:rFonts w:ascii="Calibri" w:hAnsi="Calibri"/>
          <w:color w:val="000000"/>
          <w:szCs w:val="24"/>
        </w:rPr>
      </w:pPr>
    </w:p>
    <w:p w:rsidR="00E049EB" w:rsidRPr="006802B1" w:rsidRDefault="00E049EB" w:rsidP="00E049EB">
      <w:pPr>
        <w:rPr>
          <w:rFonts w:ascii="Calibri" w:eastAsia="Calibri" w:hAnsi="Calibri" w:cs="Calibri"/>
          <w:b/>
          <w:szCs w:val="22"/>
        </w:rPr>
      </w:pPr>
      <w:r w:rsidRPr="006802B1">
        <w:rPr>
          <w:rFonts w:ascii="Calibri" w:eastAsia="Calibri" w:hAnsi="Calibri" w:cs="Calibri"/>
          <w:b/>
          <w:szCs w:val="22"/>
        </w:rPr>
        <w:t>Additional Information</w:t>
      </w: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F54F7E" w:rsidRDefault="00F54F7E" w:rsidP="00872955">
      <w:pPr>
        <w:rPr>
          <w:rFonts w:ascii="Calibri" w:hAnsi="Calibri"/>
          <w:szCs w:val="24"/>
        </w:rPr>
      </w:pPr>
    </w:p>
    <w:p w:rsidR="006802B1" w:rsidRDefault="006802B1" w:rsidP="006802B1">
      <w:pPr>
        <w:rPr>
          <w:rFonts w:ascii="Calibri" w:hAnsi="Calibri"/>
          <w:szCs w:val="24"/>
        </w:rPr>
      </w:pPr>
      <w:r w:rsidRPr="006802B1">
        <w:rPr>
          <w:rFonts w:ascii="Calibri" w:hAnsi="Calibri"/>
          <w:szCs w:val="24"/>
        </w:rPr>
        <w:t>Name of Postholder:</w:t>
      </w:r>
    </w:p>
    <w:p w:rsidR="006802B1" w:rsidRPr="006802B1" w:rsidRDefault="006802B1" w:rsidP="006802B1">
      <w:pPr>
        <w:rPr>
          <w:rFonts w:ascii="Calibri" w:hAnsi="Calibri"/>
          <w:szCs w:val="24"/>
        </w:rPr>
      </w:pPr>
    </w:p>
    <w:p w:rsidR="006802B1" w:rsidRDefault="006802B1" w:rsidP="006802B1">
      <w:pPr>
        <w:rPr>
          <w:rFonts w:ascii="Calibri" w:hAnsi="Calibri"/>
          <w:szCs w:val="24"/>
        </w:rPr>
      </w:pPr>
      <w:r w:rsidRPr="006802B1">
        <w:rPr>
          <w:rFonts w:ascii="Calibri" w:hAnsi="Calibri"/>
          <w:szCs w:val="24"/>
        </w:rPr>
        <w:t>Signature:</w:t>
      </w:r>
    </w:p>
    <w:p w:rsidR="006802B1" w:rsidRPr="006802B1" w:rsidRDefault="006802B1" w:rsidP="006802B1">
      <w:pPr>
        <w:rPr>
          <w:rFonts w:ascii="Calibri" w:hAnsi="Calibri"/>
          <w:szCs w:val="24"/>
        </w:rPr>
      </w:pPr>
    </w:p>
    <w:p w:rsidR="006802B1" w:rsidRDefault="006802B1" w:rsidP="006802B1">
      <w:pPr>
        <w:rPr>
          <w:rFonts w:ascii="Calibri" w:hAnsi="Calibri"/>
          <w:szCs w:val="24"/>
        </w:rPr>
      </w:pPr>
      <w:r w:rsidRPr="006802B1">
        <w:rPr>
          <w:rFonts w:ascii="Calibri" w:hAnsi="Calibri"/>
          <w:szCs w:val="24"/>
        </w:rPr>
        <w:t>Date:</w:t>
      </w:r>
    </w:p>
    <w:p w:rsidR="00E244B2" w:rsidRDefault="00E244B2" w:rsidP="006802B1">
      <w:pPr>
        <w:rPr>
          <w:rFonts w:ascii="Calibri" w:hAnsi="Calibri"/>
          <w:szCs w:val="24"/>
        </w:rPr>
      </w:pPr>
    </w:p>
    <w:p w:rsidR="00E244B2" w:rsidRDefault="00E244B2" w:rsidP="00E244B2">
      <w:r>
        <w:br w:type="page"/>
      </w:r>
    </w:p>
    <w:p w:rsidR="00E244B2" w:rsidRPr="00E244B2" w:rsidRDefault="00E244B2" w:rsidP="00E244B2">
      <w:pPr>
        <w:rPr>
          <w:rFonts w:asciiTheme="minorHAnsi" w:hAnsiTheme="minorHAnsi" w:cstheme="minorHAnsi"/>
          <w:b/>
          <w:sz w:val="32"/>
        </w:rPr>
      </w:pPr>
      <w:r w:rsidRPr="00E244B2">
        <w:rPr>
          <w:rFonts w:asciiTheme="minorHAnsi" w:hAnsiTheme="minorHAnsi" w:cstheme="minorHAnsi"/>
          <w:b/>
          <w:sz w:val="32"/>
        </w:rPr>
        <w:lastRenderedPageBreak/>
        <w:t>Person Specification</w:t>
      </w:r>
    </w:p>
    <w:p w:rsidR="00E244B2" w:rsidRDefault="00E244B2" w:rsidP="00E244B2"/>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E244B2" w:rsidRPr="0025594D" w:rsidTr="00603B86">
        <w:tc>
          <w:tcPr>
            <w:tcW w:w="6353" w:type="dxa"/>
            <w:shd w:val="clear" w:color="auto" w:fill="auto"/>
          </w:tcPr>
          <w:p w:rsidR="00E244B2" w:rsidRPr="0025594D" w:rsidRDefault="00E244B2" w:rsidP="00603B86">
            <w:pPr>
              <w:rPr>
                <w:rFonts w:ascii="Calibri" w:eastAsia="Times New Roman" w:hAnsi="Calibri" w:cs="Arial"/>
                <w:b/>
                <w:sz w:val="22"/>
                <w:szCs w:val="22"/>
                <w:lang w:eastAsia="en-GB"/>
              </w:rPr>
            </w:pPr>
          </w:p>
        </w:tc>
        <w:tc>
          <w:tcPr>
            <w:tcW w:w="1559" w:type="dxa"/>
            <w:shd w:val="clear" w:color="auto" w:fill="auto"/>
          </w:tcPr>
          <w:p w:rsidR="00E244B2" w:rsidRPr="0025594D" w:rsidRDefault="00E244B2" w:rsidP="00603B86">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rsidR="00E244B2" w:rsidRPr="0025594D" w:rsidRDefault="00E244B2" w:rsidP="00603B86">
            <w:pPr>
              <w:rPr>
                <w:rFonts w:ascii="Calibri" w:eastAsia="Times New Roman" w:hAnsi="Calibri" w:cs="Arial"/>
                <w:b/>
                <w:sz w:val="22"/>
                <w:szCs w:val="22"/>
                <w:lang w:eastAsia="en-GB"/>
              </w:rPr>
            </w:pPr>
          </w:p>
        </w:tc>
        <w:tc>
          <w:tcPr>
            <w:tcW w:w="1559" w:type="dxa"/>
          </w:tcPr>
          <w:p w:rsidR="00E244B2" w:rsidRPr="0025594D" w:rsidRDefault="00E244B2" w:rsidP="00603B86">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rsidR="00E244B2" w:rsidRPr="0025594D" w:rsidRDefault="00E244B2" w:rsidP="00603B86">
            <w:pPr>
              <w:rPr>
                <w:rFonts w:ascii="Calibri" w:eastAsia="Times New Roman" w:hAnsi="Calibri" w:cs="Arial"/>
                <w:b/>
                <w:sz w:val="22"/>
                <w:szCs w:val="22"/>
                <w:lang w:eastAsia="en-GB"/>
              </w:rPr>
            </w:pPr>
          </w:p>
        </w:tc>
      </w:tr>
      <w:tr w:rsidR="00E244B2" w:rsidRPr="0025594D" w:rsidTr="00603B86">
        <w:tc>
          <w:tcPr>
            <w:tcW w:w="9471" w:type="dxa"/>
            <w:gridSpan w:val="3"/>
            <w:shd w:val="clear" w:color="auto" w:fill="auto"/>
          </w:tcPr>
          <w:p w:rsidR="00E244B2" w:rsidRPr="002125C5" w:rsidRDefault="00E244B2" w:rsidP="00603B86">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E244B2" w:rsidRPr="0025594D" w:rsidTr="00603B86">
        <w:tc>
          <w:tcPr>
            <w:tcW w:w="6353" w:type="dxa"/>
            <w:shd w:val="clear" w:color="auto" w:fill="auto"/>
          </w:tcPr>
          <w:p w:rsidR="00E244B2" w:rsidRDefault="00E244B2" w:rsidP="00603B86">
            <w:pPr>
              <w:pStyle w:val="NoSpacing"/>
              <w:spacing w:after="60"/>
              <w:jc w:val="both"/>
              <w:rPr>
                <w:rFonts w:ascii="Calibri" w:hAnsi="Calibri"/>
                <w:sz w:val="18"/>
                <w:szCs w:val="18"/>
                <w:lang w:eastAsia="en-GB"/>
              </w:rPr>
            </w:pPr>
            <w:r>
              <w:rPr>
                <w:rFonts w:ascii="Calibri" w:hAnsi="Calibri"/>
                <w:sz w:val="18"/>
                <w:szCs w:val="18"/>
                <w:lang w:eastAsia="en-GB"/>
              </w:rPr>
              <w:t>A* - C in GSCE Science, Maths and English or equivalent</w:t>
            </w:r>
          </w:p>
          <w:p w:rsidR="00E244B2" w:rsidRDefault="00E244B2" w:rsidP="00603B86">
            <w:pPr>
              <w:pStyle w:val="NoSpacing"/>
              <w:spacing w:after="60"/>
              <w:jc w:val="both"/>
              <w:rPr>
                <w:rFonts w:ascii="Calibri" w:hAnsi="Calibri"/>
                <w:sz w:val="18"/>
                <w:szCs w:val="18"/>
                <w:lang w:eastAsia="en-GB"/>
              </w:rPr>
            </w:pPr>
            <w:r>
              <w:rPr>
                <w:rFonts w:ascii="Calibri" w:hAnsi="Calibri"/>
                <w:sz w:val="18"/>
                <w:szCs w:val="18"/>
                <w:lang w:eastAsia="en-GB"/>
              </w:rPr>
              <w:t>Experience of working in a Secondary Education setting</w:t>
            </w:r>
          </w:p>
          <w:p w:rsidR="00E244B2" w:rsidRPr="004B3A2A" w:rsidRDefault="00E244B2" w:rsidP="00603B86">
            <w:pPr>
              <w:pStyle w:val="NoSpacing"/>
              <w:spacing w:after="60"/>
              <w:jc w:val="both"/>
              <w:rPr>
                <w:rFonts w:ascii="Calibri" w:hAnsi="Calibri"/>
                <w:sz w:val="18"/>
                <w:szCs w:val="18"/>
                <w:lang w:eastAsia="en-GB"/>
              </w:rPr>
            </w:pPr>
            <w:r>
              <w:rPr>
                <w:rFonts w:ascii="Calibri" w:hAnsi="Calibri"/>
                <w:sz w:val="18"/>
                <w:szCs w:val="18"/>
                <w:lang w:eastAsia="en-GB"/>
              </w:rPr>
              <w:t>Experience of working in a Laboratory environment</w:t>
            </w:r>
          </w:p>
        </w:tc>
        <w:tc>
          <w:tcPr>
            <w:tcW w:w="1559" w:type="dxa"/>
            <w:shd w:val="clear" w:color="auto" w:fill="auto"/>
          </w:tcPr>
          <w:p w:rsidR="00E244B2"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Pr="004B3A2A" w:rsidRDefault="00E244B2" w:rsidP="00603B86">
            <w:pPr>
              <w:spacing w:after="60"/>
              <w:rPr>
                <w:rFonts w:ascii="Wingdings" w:eastAsia="Times New Roman" w:hAnsi="Wingdings" w:cs="Calibri"/>
                <w:sz w:val="18"/>
                <w:szCs w:val="18"/>
                <w:lang w:eastAsia="en-GB"/>
              </w:rPr>
            </w:pPr>
          </w:p>
          <w:p w:rsidR="00E244B2" w:rsidRPr="004B3A2A" w:rsidRDefault="00E244B2" w:rsidP="00603B86">
            <w:pPr>
              <w:spacing w:after="60"/>
              <w:rPr>
                <w:rFonts w:ascii="Calibri" w:eastAsia="Times New Roman" w:hAnsi="Calibri" w:cs="Arial"/>
                <w:sz w:val="16"/>
                <w:szCs w:val="16"/>
                <w:lang w:eastAsia="en-GB"/>
              </w:rPr>
            </w:pPr>
          </w:p>
        </w:tc>
        <w:tc>
          <w:tcPr>
            <w:tcW w:w="1559" w:type="dxa"/>
          </w:tcPr>
          <w:p w:rsidR="00E244B2" w:rsidRPr="00083376" w:rsidRDefault="00E244B2" w:rsidP="00603B86">
            <w:pPr>
              <w:spacing w:after="60"/>
              <w:rPr>
                <w:rFonts w:ascii="Wingdings" w:eastAsia="Times New Roman" w:hAnsi="Wingdings" w:cs="Calibri"/>
                <w:sz w:val="18"/>
                <w:szCs w:val="18"/>
                <w:lang w:eastAsia="en-GB"/>
              </w:rPr>
            </w:pPr>
          </w:p>
          <w:p w:rsidR="00E244B2"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Pr="003C6F16"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tc>
      </w:tr>
      <w:tr w:rsidR="00E244B2" w:rsidRPr="0025594D" w:rsidTr="00603B86">
        <w:tc>
          <w:tcPr>
            <w:tcW w:w="9471" w:type="dxa"/>
            <w:gridSpan w:val="3"/>
            <w:shd w:val="clear" w:color="auto" w:fill="auto"/>
          </w:tcPr>
          <w:p w:rsidR="00E244B2" w:rsidRPr="0025594D" w:rsidRDefault="00E244B2" w:rsidP="00603B86">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E244B2" w:rsidRPr="0025594D" w:rsidTr="00603B86">
        <w:tc>
          <w:tcPr>
            <w:tcW w:w="6353" w:type="dxa"/>
            <w:shd w:val="clear" w:color="auto" w:fill="auto"/>
          </w:tcPr>
          <w:p w:rsidR="00E244B2" w:rsidRDefault="00E244B2" w:rsidP="00603B86">
            <w:pPr>
              <w:rPr>
                <w:rFonts w:asciiTheme="majorHAnsi" w:hAnsiTheme="majorHAnsi"/>
                <w:color w:val="000000" w:themeColor="text1"/>
                <w:sz w:val="20"/>
                <w:lang w:val="en-US"/>
              </w:rPr>
            </w:pPr>
            <w:r>
              <w:rPr>
                <w:rFonts w:asciiTheme="majorHAnsi" w:hAnsiTheme="majorHAnsi"/>
                <w:color w:val="000000" w:themeColor="text1"/>
                <w:sz w:val="20"/>
                <w:lang w:val="en-US"/>
              </w:rPr>
              <w:t>Knowledge of the Health and Safety standards as they apply to School Science</w:t>
            </w:r>
          </w:p>
          <w:p w:rsidR="00E244B2" w:rsidRDefault="00E244B2" w:rsidP="00603B86">
            <w:pPr>
              <w:rPr>
                <w:rFonts w:asciiTheme="majorHAnsi" w:hAnsiTheme="majorHAnsi"/>
                <w:color w:val="000000" w:themeColor="text1"/>
                <w:sz w:val="20"/>
                <w:lang w:val="en-US"/>
              </w:rPr>
            </w:pPr>
            <w:r>
              <w:rPr>
                <w:rFonts w:asciiTheme="majorHAnsi" w:hAnsiTheme="majorHAnsi"/>
                <w:color w:val="000000" w:themeColor="text1"/>
                <w:sz w:val="20"/>
                <w:lang w:val="en-US"/>
              </w:rPr>
              <w:t>Knowledge of relevant codes/regulations of practice</w:t>
            </w:r>
          </w:p>
          <w:p w:rsidR="00E244B2" w:rsidRDefault="00E244B2" w:rsidP="00603B86">
            <w:pPr>
              <w:rPr>
                <w:rFonts w:asciiTheme="majorHAnsi" w:hAnsiTheme="majorHAnsi"/>
                <w:color w:val="000000" w:themeColor="text1"/>
                <w:sz w:val="20"/>
                <w:lang w:val="en-US"/>
              </w:rPr>
            </w:pPr>
            <w:r>
              <w:rPr>
                <w:rFonts w:asciiTheme="majorHAnsi" w:hAnsiTheme="majorHAnsi"/>
                <w:color w:val="000000" w:themeColor="text1"/>
                <w:sz w:val="20"/>
                <w:lang w:val="en-US"/>
              </w:rPr>
              <w:t>Knowledge of Laboratory procedures</w:t>
            </w:r>
          </w:p>
          <w:p w:rsidR="00E244B2" w:rsidRDefault="00E244B2" w:rsidP="00603B86">
            <w:pPr>
              <w:rPr>
                <w:rFonts w:asciiTheme="majorHAnsi" w:hAnsiTheme="majorHAnsi"/>
                <w:color w:val="000000" w:themeColor="text1"/>
                <w:sz w:val="20"/>
                <w:lang w:val="en-US"/>
              </w:rPr>
            </w:pPr>
            <w:r>
              <w:rPr>
                <w:rFonts w:asciiTheme="majorHAnsi" w:hAnsiTheme="majorHAnsi"/>
                <w:color w:val="000000" w:themeColor="text1"/>
                <w:sz w:val="20"/>
                <w:lang w:val="en-US"/>
              </w:rPr>
              <w:t>Ability to prepare practical equipment, apparatus and resources</w:t>
            </w:r>
          </w:p>
          <w:p w:rsidR="00E244B2" w:rsidRDefault="00E244B2" w:rsidP="00603B86">
            <w:pPr>
              <w:rPr>
                <w:rFonts w:asciiTheme="majorHAnsi" w:hAnsiTheme="majorHAnsi"/>
                <w:color w:val="000000" w:themeColor="text1"/>
                <w:sz w:val="20"/>
                <w:lang w:val="en-US"/>
              </w:rPr>
            </w:pPr>
            <w:r>
              <w:rPr>
                <w:rFonts w:asciiTheme="majorHAnsi" w:hAnsiTheme="majorHAnsi"/>
                <w:color w:val="000000" w:themeColor="text1"/>
                <w:sz w:val="20"/>
                <w:lang w:val="en-US"/>
              </w:rPr>
              <w:t>Knowledge of safety procedures in Laboratory environment, including COSHH, CLEAPPS and ESCC regulations</w:t>
            </w:r>
          </w:p>
          <w:p w:rsidR="00E244B2" w:rsidRDefault="00E244B2" w:rsidP="00603B86">
            <w:pPr>
              <w:rPr>
                <w:rFonts w:asciiTheme="majorHAnsi" w:hAnsiTheme="majorHAnsi"/>
                <w:color w:val="000000" w:themeColor="text1"/>
                <w:sz w:val="20"/>
                <w:lang w:val="en-US"/>
              </w:rPr>
            </w:pPr>
            <w:r>
              <w:rPr>
                <w:rFonts w:asciiTheme="majorHAnsi" w:hAnsiTheme="majorHAnsi"/>
                <w:color w:val="000000" w:themeColor="text1"/>
                <w:sz w:val="20"/>
                <w:lang w:val="en-US"/>
              </w:rPr>
              <w:t>An understanding of the resources and materials necessary to support identified student learning needs</w:t>
            </w:r>
          </w:p>
          <w:p w:rsidR="00E244B2" w:rsidRPr="00001779" w:rsidRDefault="00E244B2" w:rsidP="00603B86">
            <w:pPr>
              <w:rPr>
                <w:rFonts w:asciiTheme="majorHAnsi" w:hAnsiTheme="majorHAnsi"/>
                <w:color w:val="000000" w:themeColor="text1"/>
                <w:sz w:val="20"/>
                <w:lang w:val="en-US"/>
              </w:rPr>
            </w:pPr>
            <w:r>
              <w:rPr>
                <w:rFonts w:asciiTheme="majorHAnsi" w:hAnsiTheme="majorHAnsi"/>
                <w:color w:val="000000" w:themeColor="text1"/>
                <w:sz w:val="20"/>
                <w:lang w:val="en-US"/>
              </w:rPr>
              <w:t>Ability to maintain and repair the range of science equipment</w:t>
            </w:r>
          </w:p>
        </w:tc>
        <w:tc>
          <w:tcPr>
            <w:tcW w:w="1559" w:type="dxa"/>
            <w:shd w:val="clear" w:color="auto" w:fill="auto"/>
          </w:tcPr>
          <w:p w:rsidR="00E244B2"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rPr>
                <w:rFonts w:ascii="Wingdings" w:eastAsia="Times New Roman" w:hAnsi="Wingdings" w:cs="Calibri"/>
                <w:sz w:val="18"/>
                <w:szCs w:val="18"/>
                <w:lang w:eastAsia="en-GB"/>
              </w:rPr>
            </w:pPr>
          </w:p>
          <w:p w:rsidR="00E244B2"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Pr="00FB0FC5" w:rsidRDefault="00E244B2" w:rsidP="00603B86">
            <w:pPr>
              <w:rPr>
                <w:rFonts w:ascii="Wingdings" w:eastAsia="Times New Roman" w:hAnsi="Wingdings" w:cs="Calibri"/>
                <w:sz w:val="18"/>
                <w:szCs w:val="18"/>
                <w:lang w:eastAsia="en-GB"/>
              </w:rPr>
            </w:pPr>
          </w:p>
        </w:tc>
        <w:tc>
          <w:tcPr>
            <w:tcW w:w="1559" w:type="dxa"/>
          </w:tcPr>
          <w:p w:rsidR="00E244B2" w:rsidRDefault="00E244B2" w:rsidP="00603B86">
            <w:pPr>
              <w:rPr>
                <w:rFonts w:ascii="Calibri" w:eastAsia="Times New Roman" w:hAnsi="Calibri" w:cs="Arial"/>
                <w:sz w:val="20"/>
                <w:lang w:eastAsia="en-GB"/>
              </w:rPr>
            </w:pPr>
          </w:p>
          <w:p w:rsidR="00E244B2" w:rsidRPr="009E424D" w:rsidRDefault="00E244B2" w:rsidP="00603B86">
            <w:pPr>
              <w:rPr>
                <w:rFonts w:ascii="Calibri" w:eastAsia="Times New Roman" w:hAnsi="Calibri" w:cs="Arial"/>
                <w:sz w:val="20"/>
                <w:lang w:eastAsia="en-GB"/>
              </w:rPr>
            </w:pPr>
          </w:p>
          <w:p w:rsidR="00E244B2" w:rsidRPr="009E424D" w:rsidRDefault="00E244B2" w:rsidP="00603B86">
            <w:pPr>
              <w:rPr>
                <w:rFonts w:ascii="Calibri" w:eastAsia="Times New Roman" w:hAnsi="Calibri" w:cs="Arial"/>
                <w:sz w:val="20"/>
                <w:lang w:eastAsia="en-GB"/>
              </w:rPr>
            </w:pPr>
          </w:p>
          <w:p w:rsidR="00E244B2" w:rsidRPr="009E424D" w:rsidRDefault="00E244B2" w:rsidP="00603B86">
            <w:pPr>
              <w:rPr>
                <w:rFonts w:ascii="Calibri" w:eastAsia="Times New Roman" w:hAnsi="Calibri" w:cs="Arial"/>
                <w:sz w:val="20"/>
                <w:lang w:eastAsia="en-GB"/>
              </w:rPr>
            </w:pPr>
          </w:p>
          <w:p w:rsidR="00E244B2" w:rsidRPr="009E424D" w:rsidRDefault="00E244B2" w:rsidP="00603B86">
            <w:pPr>
              <w:rPr>
                <w:rFonts w:ascii="Calibri" w:eastAsia="Times New Roman" w:hAnsi="Calibri" w:cs="Arial"/>
                <w:sz w:val="20"/>
                <w:lang w:eastAsia="en-GB"/>
              </w:rPr>
            </w:pPr>
          </w:p>
          <w:p w:rsidR="00E244B2"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rPr>
                <w:rFonts w:ascii="Calibri" w:eastAsia="Times New Roman" w:hAnsi="Calibri" w:cs="Arial"/>
                <w:sz w:val="20"/>
                <w:lang w:eastAsia="en-GB"/>
              </w:rPr>
            </w:pPr>
          </w:p>
          <w:p w:rsidR="00E244B2"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rPr>
                <w:rFonts w:ascii="Calibri" w:eastAsia="Times New Roman" w:hAnsi="Calibri" w:cs="Arial"/>
                <w:sz w:val="20"/>
                <w:lang w:eastAsia="en-GB"/>
              </w:rPr>
            </w:pPr>
          </w:p>
          <w:p w:rsidR="00E244B2" w:rsidRPr="009E424D" w:rsidRDefault="00E244B2" w:rsidP="00603B86">
            <w:pPr>
              <w:spacing w:after="6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tc>
      </w:tr>
      <w:tr w:rsidR="00E244B2" w:rsidRPr="0025594D" w:rsidTr="00603B86">
        <w:trPr>
          <w:trHeight w:val="273"/>
        </w:trPr>
        <w:tc>
          <w:tcPr>
            <w:tcW w:w="9471" w:type="dxa"/>
            <w:gridSpan w:val="3"/>
            <w:shd w:val="clear" w:color="auto" w:fill="auto"/>
          </w:tcPr>
          <w:p w:rsidR="00E244B2" w:rsidRPr="0025594D" w:rsidRDefault="00E244B2" w:rsidP="00603B86">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E244B2" w:rsidRPr="0025594D" w:rsidTr="00603B86">
        <w:trPr>
          <w:trHeight w:val="539"/>
        </w:trPr>
        <w:tc>
          <w:tcPr>
            <w:tcW w:w="6353" w:type="dxa"/>
            <w:shd w:val="clear" w:color="auto" w:fill="auto"/>
          </w:tcPr>
          <w:p w:rsidR="00E244B2" w:rsidRDefault="00E244B2" w:rsidP="00603B86">
            <w:pPr>
              <w:spacing w:after="40"/>
              <w:rPr>
                <w:rFonts w:ascii="Calibri" w:eastAsia="Times New Roman" w:hAnsi="Calibri" w:cs="Arial"/>
                <w:sz w:val="20"/>
                <w:lang w:eastAsia="en-GB"/>
              </w:rPr>
            </w:pPr>
            <w:r>
              <w:rPr>
                <w:rFonts w:ascii="Calibri" w:eastAsia="Times New Roman" w:hAnsi="Calibri" w:cs="Arial"/>
                <w:sz w:val="20"/>
                <w:lang w:eastAsia="en-GB"/>
              </w:rPr>
              <w:t>Ability to demonstrate a high level of interpersonal and communication skills</w:t>
            </w:r>
          </w:p>
          <w:p w:rsidR="00E244B2" w:rsidRDefault="00E244B2" w:rsidP="00603B86">
            <w:pPr>
              <w:spacing w:after="40"/>
              <w:rPr>
                <w:rFonts w:ascii="Calibri" w:eastAsia="Times New Roman" w:hAnsi="Calibri" w:cs="Arial"/>
                <w:sz w:val="20"/>
                <w:lang w:eastAsia="en-GB"/>
              </w:rPr>
            </w:pPr>
            <w:r>
              <w:rPr>
                <w:rFonts w:ascii="Calibri" w:eastAsia="Times New Roman" w:hAnsi="Calibri" w:cs="Arial"/>
                <w:sz w:val="20"/>
                <w:lang w:eastAsia="en-GB"/>
              </w:rPr>
              <w:t>Demonstrable ability to prioritise and multitask</w:t>
            </w:r>
          </w:p>
          <w:p w:rsidR="00E244B2" w:rsidRDefault="00E244B2" w:rsidP="00603B86">
            <w:pPr>
              <w:spacing w:after="40"/>
              <w:rPr>
                <w:rFonts w:ascii="Calibri" w:eastAsia="Times New Roman" w:hAnsi="Calibri" w:cs="Arial"/>
                <w:sz w:val="20"/>
                <w:lang w:eastAsia="en-GB"/>
              </w:rPr>
            </w:pPr>
            <w:r>
              <w:rPr>
                <w:rFonts w:ascii="Calibri" w:eastAsia="Times New Roman" w:hAnsi="Calibri" w:cs="Arial"/>
                <w:sz w:val="20"/>
                <w:lang w:eastAsia="en-GB"/>
              </w:rPr>
              <w:t>Good organisational and time management skills</w:t>
            </w:r>
          </w:p>
          <w:p w:rsidR="00E244B2" w:rsidRDefault="00E244B2" w:rsidP="00603B86">
            <w:pPr>
              <w:spacing w:after="40"/>
              <w:rPr>
                <w:rFonts w:ascii="Calibri" w:eastAsia="Times New Roman" w:hAnsi="Calibri" w:cs="Arial"/>
                <w:sz w:val="20"/>
                <w:lang w:eastAsia="en-GB"/>
              </w:rPr>
            </w:pPr>
            <w:r>
              <w:rPr>
                <w:rFonts w:ascii="Calibri" w:eastAsia="Times New Roman" w:hAnsi="Calibri" w:cs="Arial"/>
                <w:sz w:val="20"/>
                <w:lang w:eastAsia="en-GB"/>
              </w:rPr>
              <w:t>Able to demonstrate a flexible approach to work</w:t>
            </w:r>
          </w:p>
          <w:p w:rsidR="00E244B2" w:rsidRDefault="00E244B2" w:rsidP="00603B86">
            <w:pPr>
              <w:spacing w:after="40"/>
              <w:rPr>
                <w:rFonts w:ascii="Calibri" w:eastAsia="Times New Roman" w:hAnsi="Calibri" w:cs="Arial"/>
                <w:sz w:val="20"/>
                <w:lang w:eastAsia="en-GB"/>
              </w:rPr>
            </w:pPr>
            <w:r>
              <w:rPr>
                <w:rFonts w:ascii="Calibri" w:eastAsia="Times New Roman" w:hAnsi="Calibri" w:cs="Arial"/>
                <w:sz w:val="20"/>
                <w:lang w:eastAsia="en-GB"/>
              </w:rPr>
              <w:t>Ability to work on own initiative or as part of a team</w:t>
            </w:r>
          </w:p>
          <w:p w:rsidR="00E244B2" w:rsidRDefault="00E244B2" w:rsidP="00603B86">
            <w:pPr>
              <w:spacing w:after="40"/>
              <w:rPr>
                <w:rFonts w:ascii="Calibri" w:eastAsia="Times New Roman" w:hAnsi="Calibri" w:cs="Arial"/>
                <w:sz w:val="20"/>
                <w:lang w:eastAsia="en-GB"/>
              </w:rPr>
            </w:pPr>
            <w:r>
              <w:rPr>
                <w:rFonts w:ascii="Calibri" w:eastAsia="Times New Roman" w:hAnsi="Calibri" w:cs="Arial"/>
                <w:sz w:val="20"/>
                <w:lang w:eastAsia="en-GB"/>
              </w:rPr>
              <w:t>Caring, approachable, empathic and calm</w:t>
            </w:r>
          </w:p>
          <w:p w:rsidR="00E244B2" w:rsidRDefault="00E244B2" w:rsidP="00603B86">
            <w:pPr>
              <w:spacing w:after="40"/>
              <w:rPr>
                <w:rFonts w:ascii="Calibri" w:eastAsia="Times New Roman" w:hAnsi="Calibri" w:cs="Arial"/>
                <w:sz w:val="20"/>
                <w:lang w:eastAsia="en-GB"/>
              </w:rPr>
            </w:pPr>
            <w:r>
              <w:rPr>
                <w:rFonts w:ascii="Calibri" w:eastAsia="Times New Roman" w:hAnsi="Calibri" w:cs="Arial"/>
                <w:sz w:val="20"/>
                <w:lang w:eastAsia="en-GB"/>
              </w:rPr>
              <w:t>Committed to personal development and willingness to undertake specific training as required.</w:t>
            </w:r>
          </w:p>
          <w:p w:rsidR="00E244B2" w:rsidRPr="003E6B72" w:rsidRDefault="00E244B2" w:rsidP="00603B86">
            <w:pPr>
              <w:spacing w:after="40"/>
              <w:rPr>
                <w:rFonts w:ascii="Calibri" w:eastAsia="Times New Roman" w:hAnsi="Calibri" w:cs="Arial"/>
                <w:sz w:val="20"/>
                <w:lang w:eastAsia="en-GB"/>
              </w:rPr>
            </w:pPr>
            <w:r>
              <w:rPr>
                <w:rFonts w:ascii="Calibri" w:eastAsia="Times New Roman" w:hAnsi="Calibri" w:cs="Arial"/>
                <w:sz w:val="20"/>
                <w:lang w:eastAsia="en-GB"/>
              </w:rPr>
              <w:t>Ability to react positively in challenging situations</w:t>
            </w:r>
          </w:p>
        </w:tc>
        <w:tc>
          <w:tcPr>
            <w:tcW w:w="1559" w:type="dxa"/>
            <w:shd w:val="clear" w:color="auto" w:fill="auto"/>
          </w:tcPr>
          <w:p w:rsidR="00E244B2" w:rsidRDefault="00E244B2" w:rsidP="00603B86">
            <w:pPr>
              <w:spacing w:after="4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40"/>
              <w:rPr>
                <w:rFonts w:ascii="Wingdings" w:eastAsia="Times New Roman" w:hAnsi="Wingdings" w:cs="Calibri"/>
                <w:sz w:val="20"/>
                <w:lang w:eastAsia="en-GB"/>
              </w:rPr>
            </w:pPr>
          </w:p>
          <w:p w:rsidR="00E244B2" w:rsidRPr="00BC78C6" w:rsidRDefault="00E244B2" w:rsidP="00603B86">
            <w:pPr>
              <w:spacing w:after="4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4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40"/>
              <w:rPr>
                <w:rFonts w:ascii="Wingdings" w:eastAsia="Times New Roman" w:hAnsi="Wingdings" w:cs="Calibri"/>
                <w:sz w:val="18"/>
                <w:szCs w:val="18"/>
                <w:lang w:eastAsia="en-GB"/>
              </w:rPr>
            </w:pPr>
          </w:p>
          <w:p w:rsidR="00E244B2" w:rsidRDefault="00E244B2" w:rsidP="00603B86">
            <w:pPr>
              <w:spacing w:after="4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4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4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40"/>
              <w:rPr>
                <w:rFonts w:ascii="Wingdings" w:eastAsia="Times New Roman" w:hAnsi="Wingdings" w:cs="Calibri"/>
                <w:sz w:val="18"/>
                <w:szCs w:val="18"/>
                <w:lang w:eastAsia="en-GB"/>
              </w:rPr>
            </w:pPr>
          </w:p>
          <w:p w:rsidR="00E244B2" w:rsidRDefault="00E244B2" w:rsidP="00603B86">
            <w:pPr>
              <w:spacing w:after="40"/>
              <w:rPr>
                <w:rFonts w:ascii="Wingdings" w:eastAsia="Times New Roman" w:hAnsi="Wingdings" w:cs="Calibri"/>
                <w:sz w:val="18"/>
                <w:szCs w:val="18"/>
                <w:lang w:eastAsia="en-GB"/>
              </w:rPr>
            </w:pPr>
            <w:r w:rsidRPr="003C6F16">
              <w:rPr>
                <w:rFonts w:ascii="Wingdings" w:eastAsia="Times New Roman" w:hAnsi="Wingdings" w:cs="Calibri"/>
                <w:sz w:val="18"/>
                <w:szCs w:val="18"/>
                <w:lang w:eastAsia="en-GB"/>
              </w:rPr>
              <w:t></w:t>
            </w:r>
          </w:p>
          <w:p w:rsidR="00E244B2" w:rsidRDefault="00E244B2" w:rsidP="00603B86">
            <w:pPr>
              <w:spacing w:after="40"/>
              <w:rPr>
                <w:rFonts w:ascii="Wingdings" w:eastAsia="Times New Roman" w:hAnsi="Wingdings" w:cs="Calibri"/>
                <w:sz w:val="18"/>
                <w:szCs w:val="18"/>
                <w:lang w:eastAsia="en-GB"/>
              </w:rPr>
            </w:pPr>
          </w:p>
          <w:p w:rsidR="00E244B2" w:rsidRPr="003E6B72" w:rsidRDefault="00E244B2" w:rsidP="00603B86">
            <w:pPr>
              <w:rPr>
                <w:rFonts w:ascii="Wingdings" w:eastAsia="Times New Roman" w:hAnsi="Wingdings" w:cs="Calibri"/>
                <w:sz w:val="20"/>
                <w:lang w:eastAsia="en-GB"/>
              </w:rPr>
            </w:pPr>
            <w:r w:rsidRPr="003C6F16">
              <w:rPr>
                <w:rFonts w:ascii="Wingdings" w:eastAsia="Times New Roman" w:hAnsi="Wingdings" w:cs="Calibri"/>
                <w:sz w:val="18"/>
                <w:szCs w:val="18"/>
                <w:lang w:eastAsia="en-GB"/>
              </w:rPr>
              <w:t></w:t>
            </w:r>
          </w:p>
        </w:tc>
        <w:tc>
          <w:tcPr>
            <w:tcW w:w="1559" w:type="dxa"/>
            <w:shd w:val="clear" w:color="auto" w:fill="auto"/>
          </w:tcPr>
          <w:p w:rsidR="00E244B2" w:rsidRPr="0025594D" w:rsidRDefault="00E244B2" w:rsidP="00603B86">
            <w:pPr>
              <w:spacing w:after="40"/>
              <w:rPr>
                <w:rFonts w:ascii="Calibri" w:eastAsia="Times New Roman" w:hAnsi="Calibri" w:cs="Arial"/>
                <w:b/>
                <w:sz w:val="20"/>
                <w:lang w:eastAsia="en-GB"/>
              </w:rPr>
            </w:pPr>
          </w:p>
        </w:tc>
      </w:tr>
    </w:tbl>
    <w:p w:rsidR="006802B1" w:rsidRPr="006C73D7" w:rsidRDefault="006802B1" w:rsidP="006802B1">
      <w:pPr>
        <w:rPr>
          <w:rFonts w:ascii="Calibri" w:hAnsi="Calibri"/>
          <w:szCs w:val="24"/>
        </w:rPr>
      </w:pPr>
    </w:p>
    <w:sectPr w:rsidR="006802B1" w:rsidRPr="006C73D7"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66D" w:rsidRDefault="0017366D">
      <w:r>
        <w:separator/>
      </w:r>
    </w:p>
  </w:endnote>
  <w:endnote w:type="continuationSeparator" w:id="0">
    <w:p w:rsidR="0017366D" w:rsidRDefault="0017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66D" w:rsidRDefault="0017366D">
      <w:r>
        <w:separator/>
      </w:r>
    </w:p>
  </w:footnote>
  <w:footnote w:type="continuationSeparator" w:id="0">
    <w:p w:rsidR="0017366D" w:rsidRDefault="00173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21D63"/>
    <w:multiLevelType w:val="hybridMultilevel"/>
    <w:tmpl w:val="35AE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5"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10"/>
  </w:num>
  <w:num w:numId="4">
    <w:abstractNumId w:val="28"/>
  </w:num>
  <w:num w:numId="5">
    <w:abstractNumId w:val="19"/>
  </w:num>
  <w:num w:numId="6">
    <w:abstractNumId w:val="7"/>
  </w:num>
  <w:num w:numId="7">
    <w:abstractNumId w:val="2"/>
  </w:num>
  <w:num w:numId="8">
    <w:abstractNumId w:val="31"/>
  </w:num>
  <w:num w:numId="9">
    <w:abstractNumId w:val="16"/>
  </w:num>
  <w:num w:numId="10">
    <w:abstractNumId w:val="13"/>
  </w:num>
  <w:num w:numId="11">
    <w:abstractNumId w:val="24"/>
  </w:num>
  <w:num w:numId="12">
    <w:abstractNumId w:val="18"/>
  </w:num>
  <w:num w:numId="13">
    <w:abstractNumId w:val="4"/>
  </w:num>
  <w:num w:numId="14">
    <w:abstractNumId w:val="30"/>
  </w:num>
  <w:num w:numId="15">
    <w:abstractNumId w:val="25"/>
  </w:num>
  <w:num w:numId="16">
    <w:abstractNumId w:val="17"/>
  </w:num>
  <w:num w:numId="17">
    <w:abstractNumId w:val="5"/>
  </w:num>
  <w:num w:numId="18">
    <w:abstractNumId w:val="1"/>
  </w:num>
  <w:num w:numId="19">
    <w:abstractNumId w:val="12"/>
  </w:num>
  <w:num w:numId="20">
    <w:abstractNumId w:val="23"/>
  </w:num>
  <w:num w:numId="21">
    <w:abstractNumId w:val="15"/>
  </w:num>
  <w:num w:numId="22">
    <w:abstractNumId w:val="6"/>
  </w:num>
  <w:num w:numId="23">
    <w:abstractNumId w:val="26"/>
  </w:num>
  <w:num w:numId="24">
    <w:abstractNumId w:val="20"/>
  </w:num>
  <w:num w:numId="25">
    <w:abstractNumId w:val="0"/>
  </w:num>
  <w:num w:numId="26">
    <w:abstractNumId w:val="14"/>
  </w:num>
  <w:num w:numId="27">
    <w:abstractNumId w:val="9"/>
  </w:num>
  <w:num w:numId="28">
    <w:abstractNumId w:val="3"/>
  </w:num>
  <w:num w:numId="29">
    <w:abstractNumId w:val="21"/>
  </w:num>
  <w:num w:numId="30">
    <w:abstractNumId w:val="8"/>
  </w:num>
  <w:num w:numId="31">
    <w:abstractNumId w:val="27"/>
  </w:num>
  <w:num w:numId="32">
    <w:abstractNumId w:val="29"/>
  </w:num>
  <w:num w:numId="3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5C14"/>
    <w:rsid w:val="00084116"/>
    <w:rsid w:val="000B49C8"/>
    <w:rsid w:val="000C5768"/>
    <w:rsid w:val="000D1DAB"/>
    <w:rsid w:val="001028F4"/>
    <w:rsid w:val="00122EAB"/>
    <w:rsid w:val="00124C2E"/>
    <w:rsid w:val="00125935"/>
    <w:rsid w:val="00131DA1"/>
    <w:rsid w:val="001354E0"/>
    <w:rsid w:val="0017366D"/>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0453B"/>
    <w:rsid w:val="0042187F"/>
    <w:rsid w:val="0043375C"/>
    <w:rsid w:val="00441BD3"/>
    <w:rsid w:val="004A1CE9"/>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64533"/>
    <w:rsid w:val="006802B1"/>
    <w:rsid w:val="00680B6C"/>
    <w:rsid w:val="006A2C34"/>
    <w:rsid w:val="006A2DAE"/>
    <w:rsid w:val="006A30C8"/>
    <w:rsid w:val="006C73D7"/>
    <w:rsid w:val="006D04B9"/>
    <w:rsid w:val="006E5F63"/>
    <w:rsid w:val="0070096D"/>
    <w:rsid w:val="00724F0B"/>
    <w:rsid w:val="00733848"/>
    <w:rsid w:val="007A1B7D"/>
    <w:rsid w:val="007B378A"/>
    <w:rsid w:val="007C42A6"/>
    <w:rsid w:val="007E17FE"/>
    <w:rsid w:val="00805F08"/>
    <w:rsid w:val="00822FF1"/>
    <w:rsid w:val="00823510"/>
    <w:rsid w:val="008239F1"/>
    <w:rsid w:val="00854CCC"/>
    <w:rsid w:val="00872955"/>
    <w:rsid w:val="00876407"/>
    <w:rsid w:val="008E76F8"/>
    <w:rsid w:val="0090595A"/>
    <w:rsid w:val="0093178A"/>
    <w:rsid w:val="0093459B"/>
    <w:rsid w:val="0093486F"/>
    <w:rsid w:val="009509DF"/>
    <w:rsid w:val="00951BD9"/>
    <w:rsid w:val="009707D2"/>
    <w:rsid w:val="00994368"/>
    <w:rsid w:val="009D4FFE"/>
    <w:rsid w:val="009E152C"/>
    <w:rsid w:val="009F6AA3"/>
    <w:rsid w:val="00A064C7"/>
    <w:rsid w:val="00A10731"/>
    <w:rsid w:val="00A13938"/>
    <w:rsid w:val="00A13DEB"/>
    <w:rsid w:val="00A16907"/>
    <w:rsid w:val="00A30EEA"/>
    <w:rsid w:val="00A87DA9"/>
    <w:rsid w:val="00AA6273"/>
    <w:rsid w:val="00AD36C0"/>
    <w:rsid w:val="00AF7466"/>
    <w:rsid w:val="00B176A2"/>
    <w:rsid w:val="00B44961"/>
    <w:rsid w:val="00B52B38"/>
    <w:rsid w:val="00B67C73"/>
    <w:rsid w:val="00B93444"/>
    <w:rsid w:val="00BA58E3"/>
    <w:rsid w:val="00BE00EA"/>
    <w:rsid w:val="00C1298C"/>
    <w:rsid w:val="00C2593B"/>
    <w:rsid w:val="00C60B24"/>
    <w:rsid w:val="00C66C2E"/>
    <w:rsid w:val="00C85299"/>
    <w:rsid w:val="00CA731B"/>
    <w:rsid w:val="00CC0123"/>
    <w:rsid w:val="00CE5B26"/>
    <w:rsid w:val="00CF3E10"/>
    <w:rsid w:val="00D11808"/>
    <w:rsid w:val="00D135DD"/>
    <w:rsid w:val="00D52672"/>
    <w:rsid w:val="00DB0F62"/>
    <w:rsid w:val="00DC5230"/>
    <w:rsid w:val="00DD031C"/>
    <w:rsid w:val="00DD1A93"/>
    <w:rsid w:val="00DF0740"/>
    <w:rsid w:val="00E049EB"/>
    <w:rsid w:val="00E05E59"/>
    <w:rsid w:val="00E244B2"/>
    <w:rsid w:val="00E37F8B"/>
    <w:rsid w:val="00E56039"/>
    <w:rsid w:val="00E56F64"/>
    <w:rsid w:val="00E929B1"/>
    <w:rsid w:val="00EC0DD8"/>
    <w:rsid w:val="00EF5CFF"/>
    <w:rsid w:val="00F00184"/>
    <w:rsid w:val="00F07203"/>
    <w:rsid w:val="00F544C1"/>
    <w:rsid w:val="00F54F7E"/>
    <w:rsid w:val="00F606F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C966D3"/>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064983781">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4CDF8-89DC-431B-94DE-83448042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1121</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6</cp:revision>
  <cp:lastPrinted>2016-11-08T13:07:00Z</cp:lastPrinted>
  <dcterms:created xsi:type="dcterms:W3CDTF">2023-07-03T11:12:00Z</dcterms:created>
  <dcterms:modified xsi:type="dcterms:W3CDTF">2023-10-30T09:08:00Z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