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66D" w:rsidRPr="0011266D" w:rsidRDefault="0011266D" w:rsidP="00A2425D">
      <w:pPr>
        <w:jc w:val="center"/>
        <w:rPr>
          <w:b/>
          <w:sz w:val="22"/>
          <w:szCs w:val="22"/>
        </w:rPr>
      </w:pPr>
      <w:r w:rsidRPr="0011266D">
        <w:rPr>
          <w:noProof/>
          <w:sz w:val="22"/>
          <w:szCs w:val="22"/>
        </w:rPr>
        <w:drawing>
          <wp:inline distT="0" distB="0" distL="0" distR="0" wp14:anchorId="368C0C54" wp14:editId="35C1BCFF">
            <wp:extent cx="515112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CMETlogo.jpg"/>
                    <pic:cNvPicPr/>
                  </pic:nvPicPr>
                  <pic:blipFill>
                    <a:blip r:embed="rId8">
                      <a:extLst>
                        <a:ext uri="{28A0092B-C50C-407E-A947-70E740481C1C}">
                          <a14:useLocalDpi xmlns:a14="http://schemas.microsoft.com/office/drawing/2010/main" val="0"/>
                        </a:ext>
                      </a:extLst>
                    </a:blip>
                    <a:stretch>
                      <a:fillRect/>
                    </a:stretch>
                  </pic:blipFill>
                  <pic:spPr>
                    <a:xfrm>
                      <a:off x="0" y="0"/>
                      <a:ext cx="5151120" cy="708660"/>
                    </a:xfrm>
                    <a:prstGeom prst="rect">
                      <a:avLst/>
                    </a:prstGeom>
                  </pic:spPr>
                </pic:pic>
              </a:graphicData>
            </a:graphic>
          </wp:inline>
        </w:drawing>
      </w:r>
    </w:p>
    <w:p w:rsidR="00046AFD" w:rsidRPr="0011266D" w:rsidRDefault="00177E55" w:rsidP="00A2425D">
      <w:pPr>
        <w:jc w:val="center"/>
        <w:rPr>
          <w:b/>
          <w:sz w:val="22"/>
          <w:szCs w:val="22"/>
        </w:rPr>
      </w:pPr>
      <w:r w:rsidRPr="0011266D">
        <w:rPr>
          <w:b/>
          <w:sz w:val="22"/>
          <w:szCs w:val="22"/>
        </w:rPr>
        <w:t>Impington Village College</w:t>
      </w:r>
    </w:p>
    <w:p w:rsidR="00177E55" w:rsidRPr="00B32BED" w:rsidRDefault="00177E55" w:rsidP="00A2425D">
      <w:pPr>
        <w:jc w:val="center"/>
        <w:rPr>
          <w:b/>
          <w:sz w:val="22"/>
          <w:szCs w:val="22"/>
        </w:rPr>
      </w:pPr>
      <w:r w:rsidRPr="00B32BED">
        <w:rPr>
          <w:b/>
          <w:sz w:val="22"/>
          <w:szCs w:val="22"/>
        </w:rPr>
        <w:t>Job Description</w:t>
      </w:r>
    </w:p>
    <w:p w:rsidR="00A056B7" w:rsidRPr="00B32BED" w:rsidRDefault="00A056B7" w:rsidP="00A2425D">
      <w:pPr>
        <w:jc w:val="both"/>
        <w:rPr>
          <w:b/>
          <w:sz w:val="22"/>
          <w:szCs w:val="22"/>
          <w:u w:val="single"/>
        </w:rPr>
      </w:pPr>
    </w:p>
    <w:tbl>
      <w:tblPr>
        <w:tblStyle w:val="TableGrid"/>
        <w:tblW w:w="8613" w:type="dxa"/>
        <w:tblLook w:val="04A0" w:firstRow="1" w:lastRow="0" w:firstColumn="1" w:lastColumn="0" w:noHBand="0" w:noVBand="1"/>
      </w:tblPr>
      <w:tblGrid>
        <w:gridCol w:w="3118"/>
        <w:gridCol w:w="5495"/>
      </w:tblGrid>
      <w:tr w:rsidR="00B32BED" w:rsidRPr="00B32BED" w:rsidTr="0011266D">
        <w:tc>
          <w:tcPr>
            <w:tcW w:w="3118" w:type="dxa"/>
          </w:tcPr>
          <w:p w:rsidR="0011266D" w:rsidRPr="00B32BED" w:rsidRDefault="0011266D" w:rsidP="00A2425D">
            <w:pPr>
              <w:rPr>
                <w:sz w:val="22"/>
                <w:szCs w:val="22"/>
              </w:rPr>
            </w:pPr>
            <w:r w:rsidRPr="00B32BED">
              <w:rPr>
                <w:sz w:val="22"/>
                <w:szCs w:val="22"/>
              </w:rPr>
              <w:t>Name of Post Holder:</w:t>
            </w:r>
          </w:p>
        </w:tc>
        <w:tc>
          <w:tcPr>
            <w:tcW w:w="5495" w:type="dxa"/>
          </w:tcPr>
          <w:p w:rsidR="0011266D" w:rsidRPr="00B32BED" w:rsidRDefault="0011266D" w:rsidP="00245122">
            <w:pPr>
              <w:rPr>
                <w:sz w:val="22"/>
                <w:szCs w:val="22"/>
              </w:rPr>
            </w:pPr>
          </w:p>
        </w:tc>
      </w:tr>
      <w:tr w:rsidR="00B32BED" w:rsidRPr="00B32BED" w:rsidTr="0011266D">
        <w:tc>
          <w:tcPr>
            <w:tcW w:w="3118" w:type="dxa"/>
          </w:tcPr>
          <w:p w:rsidR="0011266D" w:rsidRPr="00B32BED" w:rsidRDefault="0011266D" w:rsidP="00A2425D">
            <w:pPr>
              <w:rPr>
                <w:sz w:val="22"/>
                <w:szCs w:val="22"/>
              </w:rPr>
            </w:pPr>
            <w:r w:rsidRPr="00B32BED">
              <w:rPr>
                <w:sz w:val="22"/>
                <w:szCs w:val="22"/>
              </w:rPr>
              <w:t>Post Title</w:t>
            </w:r>
          </w:p>
        </w:tc>
        <w:tc>
          <w:tcPr>
            <w:tcW w:w="5495" w:type="dxa"/>
          </w:tcPr>
          <w:p w:rsidR="0011266D" w:rsidRPr="00B32BED" w:rsidRDefault="003A4AA0" w:rsidP="003E6587">
            <w:pPr>
              <w:rPr>
                <w:b/>
                <w:sz w:val="22"/>
                <w:szCs w:val="22"/>
              </w:rPr>
            </w:pPr>
            <w:r w:rsidRPr="00B32BED">
              <w:rPr>
                <w:b/>
                <w:sz w:val="22"/>
                <w:szCs w:val="22"/>
              </w:rPr>
              <w:t>Exam</w:t>
            </w:r>
            <w:r w:rsidR="003E6587" w:rsidRPr="00B32BED">
              <w:rPr>
                <w:b/>
                <w:sz w:val="22"/>
                <w:szCs w:val="22"/>
              </w:rPr>
              <w:t>s Assistant</w:t>
            </w:r>
            <w:r w:rsidR="00132C99" w:rsidRPr="00B32BED">
              <w:rPr>
                <w:b/>
                <w:sz w:val="22"/>
                <w:szCs w:val="22"/>
              </w:rPr>
              <w:t xml:space="preserve"> </w:t>
            </w:r>
            <w:r w:rsidR="005821D8" w:rsidRPr="00B32BED">
              <w:rPr>
                <w:b/>
                <w:sz w:val="22"/>
                <w:szCs w:val="22"/>
              </w:rPr>
              <w:t xml:space="preserve"> </w:t>
            </w:r>
            <w:r w:rsidR="0011266D" w:rsidRPr="00B32BED">
              <w:rPr>
                <w:b/>
                <w:sz w:val="22"/>
                <w:szCs w:val="22"/>
              </w:rPr>
              <w:t xml:space="preserve"> </w:t>
            </w:r>
          </w:p>
        </w:tc>
      </w:tr>
      <w:tr w:rsidR="00B32BED" w:rsidRPr="00B32BED" w:rsidTr="0011266D">
        <w:tc>
          <w:tcPr>
            <w:tcW w:w="3118" w:type="dxa"/>
          </w:tcPr>
          <w:p w:rsidR="0011266D" w:rsidRPr="00B32BED" w:rsidRDefault="0011266D" w:rsidP="00A2425D">
            <w:pPr>
              <w:rPr>
                <w:sz w:val="22"/>
                <w:szCs w:val="22"/>
              </w:rPr>
            </w:pPr>
            <w:r w:rsidRPr="00B32BED">
              <w:rPr>
                <w:sz w:val="22"/>
                <w:szCs w:val="22"/>
              </w:rPr>
              <w:t>Post Purpose:</w:t>
            </w:r>
          </w:p>
        </w:tc>
        <w:tc>
          <w:tcPr>
            <w:tcW w:w="5495" w:type="dxa"/>
          </w:tcPr>
          <w:p w:rsidR="0011266D" w:rsidRPr="00B32BED" w:rsidRDefault="0011266D" w:rsidP="00E16343">
            <w:pPr>
              <w:jc w:val="both"/>
              <w:rPr>
                <w:sz w:val="22"/>
                <w:szCs w:val="22"/>
              </w:rPr>
            </w:pPr>
            <w:r w:rsidRPr="00B32BED">
              <w:rPr>
                <w:sz w:val="22"/>
                <w:szCs w:val="22"/>
              </w:rPr>
              <w:t>To organise appropriate arrangements for the support of candidates with special examination requirements</w:t>
            </w:r>
            <w:r w:rsidR="00E16343">
              <w:rPr>
                <w:sz w:val="22"/>
                <w:szCs w:val="22"/>
              </w:rPr>
              <w:t xml:space="preserve"> and provide assistance with general Exams office duties.</w:t>
            </w:r>
          </w:p>
        </w:tc>
      </w:tr>
      <w:tr w:rsidR="00B32BED" w:rsidRPr="00B32BED" w:rsidTr="0011266D">
        <w:tc>
          <w:tcPr>
            <w:tcW w:w="3118" w:type="dxa"/>
          </w:tcPr>
          <w:p w:rsidR="0011266D" w:rsidRPr="00B32BED" w:rsidRDefault="0011266D" w:rsidP="00A2425D">
            <w:pPr>
              <w:rPr>
                <w:sz w:val="22"/>
                <w:szCs w:val="22"/>
              </w:rPr>
            </w:pPr>
            <w:r w:rsidRPr="00B32BED">
              <w:rPr>
                <w:sz w:val="22"/>
                <w:szCs w:val="22"/>
              </w:rPr>
              <w:t>Reporting to:</w:t>
            </w:r>
          </w:p>
        </w:tc>
        <w:tc>
          <w:tcPr>
            <w:tcW w:w="5495" w:type="dxa"/>
          </w:tcPr>
          <w:p w:rsidR="0011266D" w:rsidRPr="00B32BED" w:rsidRDefault="0011266D" w:rsidP="001F73BF">
            <w:pPr>
              <w:rPr>
                <w:sz w:val="22"/>
                <w:szCs w:val="22"/>
              </w:rPr>
            </w:pPr>
            <w:r w:rsidRPr="00B32BED">
              <w:rPr>
                <w:sz w:val="22"/>
                <w:szCs w:val="22"/>
              </w:rPr>
              <w:t>Exams Manager</w:t>
            </w:r>
          </w:p>
        </w:tc>
      </w:tr>
      <w:tr w:rsidR="00B32BED" w:rsidRPr="00B32BED" w:rsidTr="0011266D">
        <w:tc>
          <w:tcPr>
            <w:tcW w:w="3118" w:type="dxa"/>
          </w:tcPr>
          <w:p w:rsidR="0011266D" w:rsidRPr="00B32BED" w:rsidRDefault="0011266D" w:rsidP="00A2425D">
            <w:pPr>
              <w:rPr>
                <w:sz w:val="22"/>
                <w:szCs w:val="22"/>
              </w:rPr>
            </w:pPr>
            <w:r w:rsidRPr="00B32BED">
              <w:rPr>
                <w:sz w:val="22"/>
                <w:szCs w:val="22"/>
              </w:rPr>
              <w:t>Working time:</w:t>
            </w:r>
          </w:p>
        </w:tc>
        <w:tc>
          <w:tcPr>
            <w:tcW w:w="5495" w:type="dxa"/>
          </w:tcPr>
          <w:p w:rsidR="0011266D" w:rsidRPr="00B32BED" w:rsidRDefault="003E6587" w:rsidP="003E6587">
            <w:pPr>
              <w:rPr>
                <w:sz w:val="22"/>
                <w:szCs w:val="22"/>
              </w:rPr>
            </w:pPr>
            <w:r w:rsidRPr="00B32BED">
              <w:rPr>
                <w:sz w:val="22"/>
                <w:szCs w:val="22"/>
              </w:rPr>
              <w:t>20</w:t>
            </w:r>
            <w:r w:rsidR="0011266D" w:rsidRPr="00B32BED">
              <w:rPr>
                <w:sz w:val="22"/>
                <w:szCs w:val="22"/>
              </w:rPr>
              <w:t xml:space="preserve"> Hours Per Week</w:t>
            </w:r>
            <w:r w:rsidRPr="00B32BED">
              <w:rPr>
                <w:sz w:val="22"/>
                <w:szCs w:val="22"/>
              </w:rPr>
              <w:t xml:space="preserve"> </w:t>
            </w:r>
            <w:r w:rsidR="0011266D" w:rsidRPr="00B32BED">
              <w:rPr>
                <w:sz w:val="22"/>
                <w:szCs w:val="22"/>
              </w:rPr>
              <w:t xml:space="preserve">TTO </w:t>
            </w:r>
            <w:r w:rsidR="00561E95">
              <w:rPr>
                <w:sz w:val="22"/>
                <w:szCs w:val="22"/>
              </w:rPr>
              <w:t>&amp; some flexibility during busy exam periods</w:t>
            </w:r>
            <w:r w:rsidRPr="00B32BED">
              <w:rPr>
                <w:sz w:val="22"/>
                <w:szCs w:val="22"/>
              </w:rPr>
              <w:t xml:space="preserve"> </w:t>
            </w:r>
          </w:p>
        </w:tc>
      </w:tr>
      <w:tr w:rsidR="00B32BED" w:rsidRPr="00B32BED" w:rsidTr="0011266D">
        <w:tc>
          <w:tcPr>
            <w:tcW w:w="3118" w:type="dxa"/>
          </w:tcPr>
          <w:p w:rsidR="0011266D" w:rsidRPr="00B32BED" w:rsidRDefault="0011266D" w:rsidP="00A2425D">
            <w:pPr>
              <w:rPr>
                <w:sz w:val="22"/>
                <w:szCs w:val="22"/>
              </w:rPr>
            </w:pPr>
            <w:r w:rsidRPr="00B32BED">
              <w:rPr>
                <w:sz w:val="22"/>
                <w:szCs w:val="22"/>
              </w:rPr>
              <w:t xml:space="preserve">Location: </w:t>
            </w:r>
          </w:p>
        </w:tc>
        <w:tc>
          <w:tcPr>
            <w:tcW w:w="5495" w:type="dxa"/>
          </w:tcPr>
          <w:p w:rsidR="0011266D" w:rsidRPr="00B32BED" w:rsidRDefault="0011266D" w:rsidP="00A2425D">
            <w:pPr>
              <w:rPr>
                <w:sz w:val="22"/>
                <w:szCs w:val="22"/>
              </w:rPr>
            </w:pPr>
            <w:r w:rsidRPr="00B32BED">
              <w:rPr>
                <w:sz w:val="22"/>
                <w:szCs w:val="22"/>
              </w:rPr>
              <w:t xml:space="preserve">Impington Village College is part of the Morris Education Trust.  Your normal place of work will be based at Impington Village College </w:t>
            </w:r>
            <w:r w:rsidRPr="00B32BED">
              <w:rPr>
                <w:rFonts w:ascii="Arial" w:hAnsi="Arial" w:cs="Arial"/>
                <w:spacing w:val="-2"/>
                <w:sz w:val="22"/>
                <w:szCs w:val="22"/>
              </w:rPr>
              <w:t>but you may be required to work at other sites within the Trust</w:t>
            </w:r>
          </w:p>
        </w:tc>
      </w:tr>
      <w:tr w:rsidR="00B32BED" w:rsidRPr="00B32BED" w:rsidTr="0011266D">
        <w:tc>
          <w:tcPr>
            <w:tcW w:w="3118" w:type="dxa"/>
          </w:tcPr>
          <w:p w:rsidR="0011266D" w:rsidRPr="00B32BED" w:rsidRDefault="0011266D" w:rsidP="00A2425D">
            <w:pPr>
              <w:rPr>
                <w:sz w:val="22"/>
                <w:szCs w:val="22"/>
              </w:rPr>
            </w:pPr>
            <w:r w:rsidRPr="00B32BED">
              <w:rPr>
                <w:sz w:val="22"/>
                <w:szCs w:val="22"/>
              </w:rPr>
              <w:t>Salary/Grade:</w:t>
            </w:r>
          </w:p>
        </w:tc>
        <w:tc>
          <w:tcPr>
            <w:tcW w:w="5495" w:type="dxa"/>
          </w:tcPr>
          <w:p w:rsidR="0011266D" w:rsidRPr="00B32BED" w:rsidRDefault="0011266D" w:rsidP="003E6587">
            <w:pPr>
              <w:rPr>
                <w:sz w:val="22"/>
                <w:szCs w:val="22"/>
              </w:rPr>
            </w:pPr>
            <w:r w:rsidRPr="00B32BED">
              <w:rPr>
                <w:sz w:val="22"/>
                <w:szCs w:val="22"/>
              </w:rPr>
              <w:t xml:space="preserve">Scale </w:t>
            </w:r>
            <w:r w:rsidR="003E6587" w:rsidRPr="00B32BED">
              <w:rPr>
                <w:sz w:val="22"/>
                <w:szCs w:val="22"/>
              </w:rPr>
              <w:t xml:space="preserve">4 </w:t>
            </w:r>
            <w:bookmarkStart w:id="0" w:name="_GoBack"/>
            <w:bookmarkEnd w:id="0"/>
          </w:p>
        </w:tc>
      </w:tr>
      <w:tr w:rsidR="0011266D" w:rsidRPr="00B32BED" w:rsidTr="0011266D">
        <w:tc>
          <w:tcPr>
            <w:tcW w:w="3118" w:type="dxa"/>
          </w:tcPr>
          <w:p w:rsidR="0011266D" w:rsidRPr="00B32BED" w:rsidRDefault="0011266D" w:rsidP="00A2425D">
            <w:pPr>
              <w:rPr>
                <w:sz w:val="22"/>
                <w:szCs w:val="22"/>
              </w:rPr>
            </w:pPr>
            <w:r w:rsidRPr="00B32BED">
              <w:rPr>
                <w:sz w:val="22"/>
                <w:szCs w:val="22"/>
              </w:rPr>
              <w:t>Disclosure Level:</w:t>
            </w:r>
          </w:p>
        </w:tc>
        <w:tc>
          <w:tcPr>
            <w:tcW w:w="5495" w:type="dxa"/>
          </w:tcPr>
          <w:p w:rsidR="0011266D" w:rsidRPr="00B32BED" w:rsidRDefault="0011266D" w:rsidP="00A2425D">
            <w:pPr>
              <w:rPr>
                <w:sz w:val="22"/>
                <w:szCs w:val="22"/>
              </w:rPr>
            </w:pPr>
            <w:r w:rsidRPr="00B32BED">
              <w:rPr>
                <w:sz w:val="22"/>
                <w:szCs w:val="22"/>
              </w:rPr>
              <w:t>Full DBS</w:t>
            </w:r>
          </w:p>
        </w:tc>
      </w:tr>
    </w:tbl>
    <w:p w:rsidR="00A056B7" w:rsidRPr="00B32BED" w:rsidRDefault="00A056B7" w:rsidP="00A2425D">
      <w:pPr>
        <w:jc w:val="both"/>
        <w:rPr>
          <w:b/>
          <w:sz w:val="22"/>
          <w:szCs w:val="22"/>
          <w:u w:val="single"/>
        </w:rPr>
      </w:pPr>
    </w:p>
    <w:p w:rsidR="00D2161F" w:rsidRPr="00B32BED" w:rsidRDefault="00A056B7" w:rsidP="00A2425D">
      <w:pPr>
        <w:autoSpaceDE w:val="0"/>
        <w:autoSpaceDN w:val="0"/>
        <w:adjustRightInd w:val="0"/>
        <w:ind w:right="-20"/>
        <w:jc w:val="both"/>
        <w:rPr>
          <w:rStyle w:val="Strong"/>
          <w:sz w:val="22"/>
          <w:szCs w:val="22"/>
        </w:rPr>
      </w:pPr>
      <w:r w:rsidRPr="00B32BED">
        <w:rPr>
          <w:rStyle w:val="Strong"/>
          <w:sz w:val="22"/>
          <w:szCs w:val="22"/>
        </w:rPr>
        <w:t>1.</w:t>
      </w:r>
      <w:r w:rsidRPr="00B32BED">
        <w:rPr>
          <w:rStyle w:val="Strong"/>
          <w:sz w:val="22"/>
          <w:szCs w:val="22"/>
        </w:rPr>
        <w:tab/>
      </w:r>
      <w:r w:rsidR="0011266D" w:rsidRPr="00B32BED">
        <w:rPr>
          <w:rStyle w:val="Strong"/>
          <w:sz w:val="22"/>
          <w:szCs w:val="22"/>
        </w:rPr>
        <w:t xml:space="preserve">Main Purpose of the Role </w:t>
      </w:r>
      <w:r w:rsidRPr="00B32BED">
        <w:rPr>
          <w:rStyle w:val="Strong"/>
          <w:sz w:val="22"/>
          <w:szCs w:val="22"/>
        </w:rPr>
        <w:t xml:space="preserve"> </w:t>
      </w:r>
    </w:p>
    <w:p w:rsidR="0011266D" w:rsidRPr="00B32BED" w:rsidRDefault="003E6587" w:rsidP="00E83CFE">
      <w:pPr>
        <w:pStyle w:val="ListParagraph"/>
        <w:numPr>
          <w:ilvl w:val="0"/>
          <w:numId w:val="29"/>
        </w:numPr>
        <w:rPr>
          <w:sz w:val="22"/>
          <w:szCs w:val="22"/>
        </w:rPr>
      </w:pPr>
      <w:r w:rsidRPr="00B32BED">
        <w:rPr>
          <w:sz w:val="22"/>
          <w:szCs w:val="22"/>
        </w:rPr>
        <w:t>To plan and oversee</w:t>
      </w:r>
      <w:r w:rsidR="0011266D" w:rsidRPr="00B32BED">
        <w:rPr>
          <w:sz w:val="22"/>
          <w:szCs w:val="22"/>
        </w:rPr>
        <w:t xml:space="preserve"> </w:t>
      </w:r>
      <w:r w:rsidRPr="00B32BED">
        <w:rPr>
          <w:sz w:val="22"/>
          <w:szCs w:val="22"/>
        </w:rPr>
        <w:t xml:space="preserve">examination arrangements to support </w:t>
      </w:r>
      <w:r w:rsidR="0011266D" w:rsidRPr="00B32BED">
        <w:rPr>
          <w:sz w:val="22"/>
          <w:szCs w:val="22"/>
        </w:rPr>
        <w:t>candidates with special examination requirements</w:t>
      </w:r>
      <w:r w:rsidR="00B938B9" w:rsidRPr="00B32BED">
        <w:rPr>
          <w:sz w:val="22"/>
          <w:szCs w:val="22"/>
        </w:rPr>
        <w:t>.</w:t>
      </w:r>
    </w:p>
    <w:p w:rsidR="00FB79AE" w:rsidRPr="00B32BED" w:rsidRDefault="00FB79AE" w:rsidP="00E83CFE">
      <w:pPr>
        <w:pStyle w:val="ListParagraph"/>
        <w:numPr>
          <w:ilvl w:val="0"/>
          <w:numId w:val="29"/>
        </w:numPr>
        <w:rPr>
          <w:sz w:val="22"/>
          <w:szCs w:val="22"/>
        </w:rPr>
      </w:pPr>
      <w:r w:rsidRPr="00B32BED">
        <w:rPr>
          <w:sz w:val="22"/>
          <w:szCs w:val="22"/>
        </w:rPr>
        <w:t>Co-ordinate SEND exam timetabling and rooming.</w:t>
      </w:r>
    </w:p>
    <w:p w:rsidR="004873BC" w:rsidRPr="00B32BED" w:rsidRDefault="004873BC" w:rsidP="00E83CFE">
      <w:pPr>
        <w:pStyle w:val="ListParagraph"/>
        <w:numPr>
          <w:ilvl w:val="0"/>
          <w:numId w:val="29"/>
        </w:numPr>
        <w:rPr>
          <w:sz w:val="22"/>
          <w:szCs w:val="22"/>
        </w:rPr>
      </w:pPr>
      <w:r w:rsidRPr="00B32BED">
        <w:rPr>
          <w:sz w:val="22"/>
          <w:szCs w:val="22"/>
        </w:rPr>
        <w:t xml:space="preserve">Liaise with </w:t>
      </w:r>
      <w:r w:rsidR="003E6587" w:rsidRPr="00B32BED">
        <w:rPr>
          <w:sz w:val="22"/>
          <w:szCs w:val="22"/>
        </w:rPr>
        <w:t xml:space="preserve">the </w:t>
      </w:r>
      <w:r w:rsidR="00B938B9" w:rsidRPr="00B32BED">
        <w:rPr>
          <w:sz w:val="22"/>
          <w:szCs w:val="22"/>
        </w:rPr>
        <w:t xml:space="preserve">SENCO, </w:t>
      </w:r>
      <w:r w:rsidR="00C217C3" w:rsidRPr="00B32BED">
        <w:rPr>
          <w:sz w:val="22"/>
          <w:szCs w:val="22"/>
        </w:rPr>
        <w:t>SEND m</w:t>
      </w:r>
      <w:r w:rsidR="003E6587" w:rsidRPr="00B32BED">
        <w:rPr>
          <w:sz w:val="22"/>
          <w:szCs w:val="22"/>
        </w:rPr>
        <w:t>an</w:t>
      </w:r>
      <w:r w:rsidR="00353897">
        <w:rPr>
          <w:sz w:val="22"/>
          <w:szCs w:val="22"/>
        </w:rPr>
        <w:t>a</w:t>
      </w:r>
      <w:r w:rsidR="003E6587" w:rsidRPr="00B32BED">
        <w:rPr>
          <w:sz w:val="22"/>
          <w:szCs w:val="22"/>
        </w:rPr>
        <w:t xml:space="preserve">ger and Exams </w:t>
      </w:r>
      <w:r w:rsidR="00C217C3" w:rsidRPr="00B32BED">
        <w:rPr>
          <w:sz w:val="22"/>
          <w:szCs w:val="22"/>
        </w:rPr>
        <w:t>m</w:t>
      </w:r>
      <w:r w:rsidR="003E6587" w:rsidRPr="00B32BED">
        <w:rPr>
          <w:sz w:val="22"/>
          <w:szCs w:val="22"/>
        </w:rPr>
        <w:t>an</w:t>
      </w:r>
      <w:r w:rsidR="00353897">
        <w:rPr>
          <w:sz w:val="22"/>
          <w:szCs w:val="22"/>
        </w:rPr>
        <w:t>a</w:t>
      </w:r>
      <w:r w:rsidR="003E6587" w:rsidRPr="00B32BED">
        <w:rPr>
          <w:sz w:val="22"/>
          <w:szCs w:val="22"/>
        </w:rPr>
        <w:t xml:space="preserve">ger </w:t>
      </w:r>
      <w:r w:rsidRPr="00B32BED">
        <w:rPr>
          <w:sz w:val="22"/>
          <w:szCs w:val="22"/>
        </w:rPr>
        <w:t xml:space="preserve">to ensure </w:t>
      </w:r>
      <w:r w:rsidR="003E6587" w:rsidRPr="00B32BED">
        <w:rPr>
          <w:sz w:val="22"/>
          <w:szCs w:val="22"/>
        </w:rPr>
        <w:t xml:space="preserve">the </w:t>
      </w:r>
      <w:r w:rsidRPr="00B32BED">
        <w:rPr>
          <w:sz w:val="22"/>
          <w:szCs w:val="22"/>
        </w:rPr>
        <w:t xml:space="preserve">smooth running of </w:t>
      </w:r>
      <w:r w:rsidR="003E6587" w:rsidRPr="00B32BED">
        <w:rPr>
          <w:sz w:val="22"/>
          <w:szCs w:val="22"/>
        </w:rPr>
        <w:t xml:space="preserve">exams for students with </w:t>
      </w:r>
      <w:r w:rsidR="00DE09EE" w:rsidRPr="00B32BED">
        <w:rPr>
          <w:sz w:val="22"/>
          <w:szCs w:val="22"/>
        </w:rPr>
        <w:t>access arrangements</w:t>
      </w:r>
      <w:r w:rsidR="00FB79AE" w:rsidRPr="00B32BED">
        <w:rPr>
          <w:sz w:val="22"/>
          <w:szCs w:val="22"/>
        </w:rPr>
        <w:t>.</w:t>
      </w:r>
    </w:p>
    <w:p w:rsidR="005F5342" w:rsidRPr="00B32BED" w:rsidRDefault="003E6587" w:rsidP="00E83CFE">
      <w:pPr>
        <w:pStyle w:val="ListParagraph"/>
        <w:numPr>
          <w:ilvl w:val="0"/>
          <w:numId w:val="29"/>
        </w:numPr>
        <w:contextualSpacing/>
        <w:rPr>
          <w:sz w:val="22"/>
          <w:szCs w:val="22"/>
        </w:rPr>
      </w:pPr>
      <w:r w:rsidRPr="00B32BED">
        <w:rPr>
          <w:sz w:val="22"/>
          <w:szCs w:val="22"/>
        </w:rPr>
        <w:t xml:space="preserve">Assist the Exams Manager and the Vocational &amp; Internal Exams Co-ordinator with the overall running of the </w:t>
      </w:r>
      <w:r w:rsidR="005F5342" w:rsidRPr="00B32BED">
        <w:rPr>
          <w:sz w:val="22"/>
          <w:szCs w:val="22"/>
        </w:rPr>
        <w:t xml:space="preserve">whole-school exams </w:t>
      </w:r>
      <w:r w:rsidRPr="00B32BED">
        <w:rPr>
          <w:sz w:val="22"/>
          <w:szCs w:val="22"/>
        </w:rPr>
        <w:t xml:space="preserve">process to ensure that all exams run in accordance with </w:t>
      </w:r>
      <w:r w:rsidR="00DE09EE" w:rsidRPr="00B32BED">
        <w:rPr>
          <w:sz w:val="22"/>
          <w:szCs w:val="22"/>
        </w:rPr>
        <w:t xml:space="preserve">IB, </w:t>
      </w:r>
      <w:r w:rsidRPr="00B32BED">
        <w:rPr>
          <w:sz w:val="22"/>
          <w:szCs w:val="22"/>
        </w:rPr>
        <w:t xml:space="preserve">JCQ guidelines and </w:t>
      </w:r>
      <w:r w:rsidR="00DE09EE" w:rsidRPr="00B32BED">
        <w:rPr>
          <w:sz w:val="22"/>
          <w:szCs w:val="22"/>
        </w:rPr>
        <w:t>all other r</w:t>
      </w:r>
      <w:r w:rsidR="00B938B9" w:rsidRPr="00B32BED">
        <w:rPr>
          <w:sz w:val="22"/>
          <w:szCs w:val="22"/>
        </w:rPr>
        <w:t>egulations</w:t>
      </w:r>
      <w:r w:rsidRPr="00B32BED">
        <w:rPr>
          <w:sz w:val="22"/>
          <w:szCs w:val="22"/>
        </w:rPr>
        <w:t>.</w:t>
      </w:r>
    </w:p>
    <w:p w:rsidR="00E83CFE" w:rsidRPr="00B32BED" w:rsidRDefault="00E83CFE" w:rsidP="00E83CFE">
      <w:pPr>
        <w:ind w:left="360"/>
        <w:jc w:val="both"/>
        <w:rPr>
          <w:sz w:val="22"/>
          <w:szCs w:val="22"/>
        </w:rPr>
      </w:pPr>
    </w:p>
    <w:p w:rsidR="0028373B" w:rsidRPr="00B32BED" w:rsidRDefault="0028373B" w:rsidP="00A2425D">
      <w:pPr>
        <w:jc w:val="both"/>
        <w:rPr>
          <w:sz w:val="22"/>
          <w:szCs w:val="22"/>
        </w:rPr>
      </w:pPr>
    </w:p>
    <w:p w:rsidR="00E66776" w:rsidRPr="00B32BED" w:rsidRDefault="00A056B7" w:rsidP="00A2425D">
      <w:pPr>
        <w:ind w:left="426" w:hanging="426"/>
        <w:jc w:val="both"/>
        <w:rPr>
          <w:rStyle w:val="Strong"/>
          <w:sz w:val="22"/>
          <w:szCs w:val="22"/>
        </w:rPr>
      </w:pPr>
      <w:r w:rsidRPr="00B32BED">
        <w:rPr>
          <w:rStyle w:val="Strong"/>
          <w:sz w:val="22"/>
          <w:szCs w:val="22"/>
        </w:rPr>
        <w:t>2.</w:t>
      </w:r>
      <w:r w:rsidRPr="00B32BED">
        <w:rPr>
          <w:rStyle w:val="Strong"/>
          <w:sz w:val="22"/>
          <w:szCs w:val="22"/>
        </w:rPr>
        <w:tab/>
      </w:r>
      <w:r w:rsidR="0011266D" w:rsidRPr="00B32BED">
        <w:rPr>
          <w:rStyle w:val="Strong"/>
          <w:sz w:val="22"/>
          <w:szCs w:val="22"/>
        </w:rPr>
        <w:t xml:space="preserve">Key Tasks </w:t>
      </w:r>
    </w:p>
    <w:p w:rsidR="004476A5" w:rsidRPr="00B32BED" w:rsidRDefault="00B938B9"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lastRenderedPageBreak/>
        <w:t xml:space="preserve">Make appropriate </w:t>
      </w:r>
      <w:r w:rsidR="004476A5" w:rsidRPr="00B32BED">
        <w:rPr>
          <w:rFonts w:cs="Calibri"/>
          <w:sz w:val="22"/>
          <w:szCs w:val="22"/>
        </w:rPr>
        <w:t>timetabling and room</w:t>
      </w:r>
      <w:r w:rsidRPr="00B32BED">
        <w:rPr>
          <w:rFonts w:cs="Calibri"/>
          <w:sz w:val="22"/>
          <w:szCs w:val="22"/>
        </w:rPr>
        <w:t xml:space="preserve"> arrangements for SEND students,</w:t>
      </w:r>
      <w:r w:rsidR="00245122" w:rsidRPr="00B32BED">
        <w:rPr>
          <w:rFonts w:cs="Calibri"/>
          <w:sz w:val="22"/>
          <w:szCs w:val="22"/>
        </w:rPr>
        <w:t xml:space="preserve"> including </w:t>
      </w:r>
      <w:r w:rsidRPr="00B32BED">
        <w:rPr>
          <w:rFonts w:cs="Calibri"/>
          <w:sz w:val="22"/>
          <w:szCs w:val="22"/>
        </w:rPr>
        <w:t xml:space="preserve">the </w:t>
      </w:r>
      <w:r w:rsidR="00245122" w:rsidRPr="00B32BED">
        <w:rPr>
          <w:rFonts w:cs="Calibri"/>
          <w:sz w:val="22"/>
          <w:szCs w:val="22"/>
        </w:rPr>
        <w:t>set</w:t>
      </w:r>
      <w:r w:rsidRPr="00B32BED">
        <w:rPr>
          <w:rFonts w:cs="Calibri"/>
          <w:sz w:val="22"/>
          <w:szCs w:val="22"/>
        </w:rPr>
        <w:t>ting up of exam</w:t>
      </w:r>
      <w:r w:rsidR="00245122" w:rsidRPr="00B32BED">
        <w:rPr>
          <w:rFonts w:cs="Calibri"/>
          <w:sz w:val="22"/>
          <w:szCs w:val="22"/>
        </w:rPr>
        <w:t xml:space="preserve"> rooms and briefing invigilators on SEND exam procedures</w:t>
      </w:r>
      <w:r w:rsidRPr="00B32BED">
        <w:rPr>
          <w:rFonts w:cs="Calibri"/>
          <w:sz w:val="22"/>
          <w:szCs w:val="22"/>
        </w:rPr>
        <w:t>.</w:t>
      </w:r>
    </w:p>
    <w:p w:rsidR="0011266D" w:rsidRPr="00B32BED" w:rsidRDefault="0011266D" w:rsidP="00E83CFE">
      <w:pPr>
        <w:pStyle w:val="ListParagraph"/>
        <w:numPr>
          <w:ilvl w:val="0"/>
          <w:numId w:val="29"/>
        </w:numPr>
        <w:rPr>
          <w:sz w:val="22"/>
          <w:szCs w:val="22"/>
        </w:rPr>
      </w:pPr>
      <w:r w:rsidRPr="00B32BED">
        <w:rPr>
          <w:sz w:val="22"/>
          <w:szCs w:val="22"/>
        </w:rPr>
        <w:t xml:space="preserve">Ensure that SEND pupils are given all the necessary relevant information </w:t>
      </w:r>
      <w:r w:rsidR="00353897">
        <w:rPr>
          <w:sz w:val="22"/>
          <w:szCs w:val="22"/>
        </w:rPr>
        <w:t>regarding</w:t>
      </w:r>
      <w:r w:rsidRPr="00B32BED">
        <w:rPr>
          <w:sz w:val="22"/>
          <w:szCs w:val="22"/>
        </w:rPr>
        <w:t xml:space="preserve"> examination entries, the dates and times of the examinations, conduct during examination and the collection of results and certificates </w:t>
      </w:r>
    </w:p>
    <w:p w:rsidR="004476A5" w:rsidRPr="00B32BED" w:rsidRDefault="004476A5"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Ensure that where require</w:t>
      </w:r>
      <w:r w:rsidR="00B938B9" w:rsidRPr="00B32BED">
        <w:rPr>
          <w:rFonts w:cs="Calibri"/>
          <w:sz w:val="22"/>
          <w:szCs w:val="22"/>
        </w:rPr>
        <w:t>d</w:t>
      </w:r>
      <w:r w:rsidRPr="00B32BED">
        <w:rPr>
          <w:rFonts w:cs="Calibri"/>
          <w:sz w:val="22"/>
          <w:szCs w:val="22"/>
        </w:rPr>
        <w:t xml:space="preserve"> the</w:t>
      </w:r>
      <w:r w:rsidR="00245122" w:rsidRPr="00B32BED">
        <w:rPr>
          <w:rFonts w:cs="Calibri"/>
          <w:sz w:val="22"/>
          <w:szCs w:val="22"/>
        </w:rPr>
        <w:t xml:space="preserve">re is the provision of a scribe, </w:t>
      </w:r>
      <w:r w:rsidRPr="00B32BED">
        <w:rPr>
          <w:rFonts w:cs="Calibri"/>
          <w:sz w:val="22"/>
          <w:szCs w:val="22"/>
        </w:rPr>
        <w:t>reader</w:t>
      </w:r>
      <w:r w:rsidR="00245122" w:rsidRPr="00B32BED">
        <w:rPr>
          <w:rFonts w:cs="Calibri"/>
          <w:sz w:val="22"/>
          <w:szCs w:val="22"/>
        </w:rPr>
        <w:t>, computer reader, word processor or other arrangements</w:t>
      </w:r>
      <w:r w:rsidRPr="00B32BED">
        <w:rPr>
          <w:rFonts w:cs="Calibri"/>
          <w:sz w:val="22"/>
          <w:szCs w:val="22"/>
        </w:rPr>
        <w:t xml:space="preserve"> </w:t>
      </w:r>
      <w:r w:rsidR="00B938B9" w:rsidRPr="00B32BED">
        <w:rPr>
          <w:rFonts w:cs="Calibri"/>
          <w:sz w:val="22"/>
          <w:szCs w:val="22"/>
        </w:rPr>
        <w:t xml:space="preserve">in place </w:t>
      </w:r>
      <w:r w:rsidRPr="00B32BED">
        <w:rPr>
          <w:rFonts w:cs="Calibri"/>
          <w:sz w:val="22"/>
          <w:szCs w:val="22"/>
        </w:rPr>
        <w:t>for students</w:t>
      </w:r>
    </w:p>
    <w:p w:rsidR="004476A5" w:rsidRPr="00B32BED" w:rsidRDefault="004476A5"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Ensure correct invigilator</w:t>
      </w:r>
      <w:r w:rsidR="00245122" w:rsidRPr="00B32BED">
        <w:rPr>
          <w:rFonts w:cs="Calibri"/>
          <w:sz w:val="22"/>
          <w:szCs w:val="22"/>
        </w:rPr>
        <w:t xml:space="preserve"> and TA support</w:t>
      </w:r>
      <w:r w:rsidRPr="00B32BED">
        <w:rPr>
          <w:rFonts w:cs="Calibri"/>
          <w:sz w:val="22"/>
          <w:szCs w:val="22"/>
        </w:rPr>
        <w:t xml:space="preserve"> for SEND students is in place</w:t>
      </w:r>
      <w:r w:rsidR="00245122" w:rsidRPr="00B32BED">
        <w:rPr>
          <w:rFonts w:cs="Calibri"/>
          <w:sz w:val="22"/>
          <w:szCs w:val="22"/>
        </w:rPr>
        <w:t xml:space="preserve"> for all external and internal</w:t>
      </w:r>
      <w:r w:rsidRPr="00B32BED">
        <w:rPr>
          <w:rFonts w:cs="Calibri"/>
          <w:sz w:val="22"/>
          <w:szCs w:val="22"/>
        </w:rPr>
        <w:t xml:space="preserve"> </w:t>
      </w:r>
      <w:r w:rsidR="00B938B9" w:rsidRPr="00B32BED">
        <w:rPr>
          <w:rFonts w:cs="Calibri"/>
          <w:sz w:val="22"/>
          <w:szCs w:val="22"/>
        </w:rPr>
        <w:t>exams.</w:t>
      </w:r>
    </w:p>
    <w:p w:rsidR="00B938B9" w:rsidRPr="00B32BED" w:rsidRDefault="00B938B9"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Ensure that exam rooms are booked using the school information system (SIMS)</w:t>
      </w:r>
    </w:p>
    <w:p w:rsidR="00B938B9" w:rsidRPr="00B32BED" w:rsidRDefault="00B938B9"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 xml:space="preserve">Ensure that an up to date record of </w:t>
      </w:r>
      <w:r w:rsidR="006317EF" w:rsidRPr="00B32BED">
        <w:rPr>
          <w:rFonts w:cs="Calibri"/>
          <w:sz w:val="22"/>
          <w:szCs w:val="22"/>
        </w:rPr>
        <w:t xml:space="preserve">students access arrangements is </w:t>
      </w:r>
      <w:r w:rsidRPr="00B32BED">
        <w:rPr>
          <w:rFonts w:cs="Calibri"/>
          <w:sz w:val="22"/>
          <w:szCs w:val="22"/>
        </w:rPr>
        <w:t>available in each exam room</w:t>
      </w:r>
    </w:p>
    <w:p w:rsidR="00C217C3" w:rsidRPr="00B32BED" w:rsidRDefault="00C217C3"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Create exam access arrangement cards for students exam desks</w:t>
      </w:r>
    </w:p>
    <w:p w:rsidR="00B938B9" w:rsidRPr="00B32BED" w:rsidRDefault="006317EF"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Deal with enquires from staff</w:t>
      </w:r>
      <w:r w:rsidR="00B938B9" w:rsidRPr="00B32BED">
        <w:rPr>
          <w:rFonts w:cs="Calibri"/>
          <w:sz w:val="22"/>
          <w:szCs w:val="22"/>
        </w:rPr>
        <w:t xml:space="preserve"> and parents/carers</w:t>
      </w:r>
      <w:r w:rsidRPr="00B32BED">
        <w:rPr>
          <w:rFonts w:cs="Calibri"/>
          <w:sz w:val="22"/>
          <w:szCs w:val="22"/>
        </w:rPr>
        <w:t xml:space="preserve"> regarding exam access arrangements</w:t>
      </w:r>
    </w:p>
    <w:p w:rsidR="00245122" w:rsidRPr="00B32BED" w:rsidRDefault="00E16343"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Liaise</w:t>
      </w:r>
      <w:r w:rsidR="00697F2F" w:rsidRPr="00B32BED">
        <w:rPr>
          <w:rFonts w:cs="Calibri"/>
          <w:sz w:val="22"/>
          <w:szCs w:val="22"/>
        </w:rPr>
        <w:t xml:space="preserve"> with </w:t>
      </w:r>
      <w:r>
        <w:rPr>
          <w:rFonts w:cs="Calibri"/>
          <w:sz w:val="22"/>
          <w:szCs w:val="22"/>
        </w:rPr>
        <w:t xml:space="preserve">the </w:t>
      </w:r>
      <w:r w:rsidR="00697F2F" w:rsidRPr="00B32BED">
        <w:rPr>
          <w:rFonts w:cs="Calibri"/>
          <w:sz w:val="22"/>
          <w:szCs w:val="22"/>
        </w:rPr>
        <w:t xml:space="preserve">IT </w:t>
      </w:r>
      <w:r>
        <w:rPr>
          <w:rFonts w:cs="Calibri"/>
          <w:sz w:val="22"/>
          <w:szCs w:val="22"/>
        </w:rPr>
        <w:t xml:space="preserve">department </w:t>
      </w:r>
      <w:r w:rsidR="00697F2F" w:rsidRPr="00B32BED">
        <w:rPr>
          <w:rFonts w:cs="Calibri"/>
          <w:sz w:val="22"/>
          <w:szCs w:val="22"/>
        </w:rPr>
        <w:t>to create exam login’s</w:t>
      </w:r>
      <w:r w:rsidR="00C217C3" w:rsidRPr="00B32BED">
        <w:rPr>
          <w:rFonts w:cs="Calibri"/>
          <w:sz w:val="22"/>
          <w:szCs w:val="22"/>
        </w:rPr>
        <w:t xml:space="preserve"> for SEND students</w:t>
      </w:r>
    </w:p>
    <w:p w:rsidR="00C217C3" w:rsidRPr="00B32BED" w:rsidRDefault="00C217C3" w:rsidP="00E83CF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Collate evidence from the Year 10 mock exams trial arrangements to pass onto the SENCo &amp; S</w:t>
      </w:r>
      <w:r w:rsidR="00E16343">
        <w:rPr>
          <w:rFonts w:cs="Calibri"/>
          <w:sz w:val="22"/>
          <w:szCs w:val="22"/>
        </w:rPr>
        <w:t>END</w:t>
      </w:r>
      <w:r w:rsidRPr="00B32BED">
        <w:rPr>
          <w:rFonts w:cs="Calibri"/>
          <w:sz w:val="22"/>
          <w:szCs w:val="22"/>
        </w:rPr>
        <w:t xml:space="preserve"> manager.</w:t>
      </w:r>
    </w:p>
    <w:p w:rsidR="0011266D" w:rsidRDefault="0011266D" w:rsidP="00E83CFE">
      <w:pPr>
        <w:pStyle w:val="ListParagraph"/>
        <w:numPr>
          <w:ilvl w:val="0"/>
          <w:numId w:val="29"/>
        </w:numPr>
        <w:rPr>
          <w:rStyle w:val="Strong"/>
          <w:b w:val="0"/>
          <w:sz w:val="22"/>
          <w:szCs w:val="22"/>
        </w:rPr>
      </w:pPr>
      <w:r w:rsidRPr="00B32BED">
        <w:rPr>
          <w:rStyle w:val="Strong"/>
          <w:b w:val="0"/>
          <w:sz w:val="22"/>
          <w:szCs w:val="22"/>
        </w:rPr>
        <w:t xml:space="preserve">Ensure that all necessary stationery and </w:t>
      </w:r>
      <w:r w:rsidR="00E16343">
        <w:rPr>
          <w:rStyle w:val="Strong"/>
          <w:b w:val="0"/>
          <w:sz w:val="22"/>
          <w:szCs w:val="22"/>
        </w:rPr>
        <w:t>special equipment is correctly provided and set up the</w:t>
      </w:r>
      <w:r w:rsidRPr="00B32BED">
        <w:rPr>
          <w:rStyle w:val="Strong"/>
          <w:b w:val="0"/>
          <w:sz w:val="22"/>
          <w:szCs w:val="22"/>
        </w:rPr>
        <w:t xml:space="preserve"> needs of SEND students</w:t>
      </w:r>
    </w:p>
    <w:p w:rsidR="00E16343" w:rsidRPr="00B32BED" w:rsidRDefault="00E16343" w:rsidP="00E16343">
      <w:pPr>
        <w:pStyle w:val="ListParagraph"/>
        <w:numPr>
          <w:ilvl w:val="0"/>
          <w:numId w:val="29"/>
        </w:numPr>
        <w:autoSpaceDE w:val="0"/>
        <w:autoSpaceDN w:val="0"/>
        <w:adjustRightInd w:val="0"/>
        <w:ind w:right="-20"/>
        <w:rPr>
          <w:rFonts w:cs="Calibri"/>
          <w:sz w:val="22"/>
          <w:szCs w:val="22"/>
        </w:rPr>
      </w:pPr>
      <w:r w:rsidRPr="00B32BED">
        <w:rPr>
          <w:rFonts w:cs="Calibri"/>
          <w:sz w:val="22"/>
          <w:szCs w:val="22"/>
        </w:rPr>
        <w:t>Liaise with awarding bodies to ensure issues are resolved in a timely manner</w:t>
      </w:r>
    </w:p>
    <w:p w:rsidR="00E16343" w:rsidRPr="00B32BED" w:rsidRDefault="00E16343" w:rsidP="00E16343">
      <w:pPr>
        <w:pStyle w:val="ListParagraph"/>
        <w:rPr>
          <w:rStyle w:val="Strong"/>
          <w:b w:val="0"/>
          <w:sz w:val="22"/>
          <w:szCs w:val="22"/>
        </w:rPr>
      </w:pPr>
    </w:p>
    <w:p w:rsidR="0011266D" w:rsidRPr="00B32BED" w:rsidRDefault="0011266D" w:rsidP="0022566A">
      <w:pPr>
        <w:ind w:left="360"/>
        <w:jc w:val="both"/>
        <w:rPr>
          <w:sz w:val="22"/>
          <w:szCs w:val="22"/>
        </w:rPr>
      </w:pPr>
    </w:p>
    <w:p w:rsidR="00BB477E" w:rsidRPr="00B32BED" w:rsidRDefault="00BB477E" w:rsidP="00E83CFE">
      <w:pPr>
        <w:ind w:left="426" w:hanging="426"/>
        <w:rPr>
          <w:rStyle w:val="Strong"/>
          <w:sz w:val="22"/>
          <w:szCs w:val="22"/>
        </w:rPr>
      </w:pPr>
      <w:r w:rsidRPr="00B32BED">
        <w:rPr>
          <w:rStyle w:val="Strong"/>
          <w:sz w:val="22"/>
          <w:szCs w:val="22"/>
        </w:rPr>
        <w:t>3.</w:t>
      </w:r>
      <w:r w:rsidRPr="00B32BED">
        <w:rPr>
          <w:rStyle w:val="Strong"/>
          <w:sz w:val="22"/>
          <w:szCs w:val="22"/>
        </w:rPr>
        <w:tab/>
        <w:t xml:space="preserve">Other Responsibilities  </w:t>
      </w:r>
    </w:p>
    <w:p w:rsidR="003A4AA0" w:rsidRPr="00B32BED" w:rsidRDefault="00BB477E" w:rsidP="00C217C3">
      <w:pPr>
        <w:pStyle w:val="ListParagraph"/>
        <w:numPr>
          <w:ilvl w:val="0"/>
          <w:numId w:val="29"/>
        </w:numPr>
        <w:rPr>
          <w:sz w:val="22"/>
          <w:szCs w:val="22"/>
        </w:rPr>
      </w:pPr>
      <w:r w:rsidRPr="00B32BED">
        <w:rPr>
          <w:sz w:val="22"/>
          <w:szCs w:val="22"/>
        </w:rPr>
        <w:t xml:space="preserve">Keep up to date with changes in </w:t>
      </w:r>
      <w:r w:rsidR="00C217C3" w:rsidRPr="00B32BED">
        <w:rPr>
          <w:sz w:val="22"/>
          <w:szCs w:val="22"/>
        </w:rPr>
        <w:t>exam access arrangements and JCQ guidelines and regulations surrounding these.</w:t>
      </w:r>
      <w:r w:rsidR="003A4AA0" w:rsidRPr="00B32BED">
        <w:rPr>
          <w:sz w:val="22"/>
          <w:szCs w:val="22"/>
        </w:rPr>
        <w:t xml:space="preserve"> </w:t>
      </w:r>
    </w:p>
    <w:p w:rsidR="0011266D" w:rsidRPr="00B32BED" w:rsidRDefault="0011266D" w:rsidP="00C217C3">
      <w:pPr>
        <w:pStyle w:val="ListParagraph"/>
        <w:numPr>
          <w:ilvl w:val="0"/>
          <w:numId w:val="29"/>
        </w:numPr>
        <w:rPr>
          <w:sz w:val="22"/>
          <w:szCs w:val="22"/>
        </w:rPr>
      </w:pPr>
      <w:r w:rsidRPr="00B32BED">
        <w:rPr>
          <w:sz w:val="22"/>
          <w:szCs w:val="22"/>
        </w:rPr>
        <w:t>Keep up to date with the necessary policies, procedures, rules and regulations laid down by the different examination bodies</w:t>
      </w:r>
    </w:p>
    <w:p w:rsidR="0022566A" w:rsidRPr="00B32BED" w:rsidRDefault="00FB79AE" w:rsidP="00BB477E">
      <w:pPr>
        <w:pStyle w:val="ListParagraph"/>
        <w:numPr>
          <w:ilvl w:val="0"/>
          <w:numId w:val="29"/>
        </w:numPr>
        <w:autoSpaceDE w:val="0"/>
        <w:autoSpaceDN w:val="0"/>
        <w:adjustRightInd w:val="0"/>
        <w:ind w:right="-20"/>
        <w:rPr>
          <w:rFonts w:cs="Calibri"/>
          <w:sz w:val="22"/>
          <w:szCs w:val="22"/>
        </w:rPr>
      </w:pPr>
      <w:r w:rsidRPr="00B32BED">
        <w:rPr>
          <w:rFonts w:cs="Calibri"/>
          <w:sz w:val="22"/>
          <w:szCs w:val="22"/>
        </w:rPr>
        <w:t xml:space="preserve">Assist with general examination duties and </w:t>
      </w:r>
      <w:r w:rsidR="00E83CFE" w:rsidRPr="00B32BED">
        <w:rPr>
          <w:rFonts w:cs="Calibri"/>
          <w:sz w:val="22"/>
          <w:szCs w:val="22"/>
        </w:rPr>
        <w:t xml:space="preserve">support the Exams Manager </w:t>
      </w:r>
      <w:r w:rsidR="0022566A" w:rsidRPr="00B32BED">
        <w:rPr>
          <w:rFonts w:cs="Calibri"/>
          <w:sz w:val="22"/>
          <w:szCs w:val="22"/>
        </w:rPr>
        <w:t>w</w:t>
      </w:r>
      <w:r w:rsidRPr="00B32BED">
        <w:rPr>
          <w:rFonts w:cs="Calibri"/>
          <w:sz w:val="22"/>
          <w:szCs w:val="22"/>
        </w:rPr>
        <w:t>ith the day to day running of exams w</w:t>
      </w:r>
      <w:r w:rsidR="0022566A" w:rsidRPr="00B32BED">
        <w:rPr>
          <w:rFonts w:cs="Calibri"/>
          <w:sz w:val="22"/>
          <w:szCs w:val="22"/>
        </w:rPr>
        <w:t>her</w:t>
      </w:r>
      <w:r w:rsidRPr="00B32BED">
        <w:rPr>
          <w:rFonts w:cs="Calibri"/>
          <w:sz w:val="22"/>
          <w:szCs w:val="22"/>
        </w:rPr>
        <w:t>e required.</w:t>
      </w:r>
    </w:p>
    <w:p w:rsidR="00BB477E" w:rsidRPr="00B32BED" w:rsidRDefault="00BB477E" w:rsidP="00BB477E">
      <w:pPr>
        <w:pStyle w:val="ListParagraph"/>
        <w:numPr>
          <w:ilvl w:val="0"/>
          <w:numId w:val="29"/>
        </w:numPr>
        <w:contextualSpacing/>
        <w:rPr>
          <w:rFonts w:cs="Arial"/>
          <w:iCs/>
          <w:sz w:val="22"/>
          <w:szCs w:val="22"/>
        </w:rPr>
      </w:pPr>
      <w:r w:rsidRPr="00B32BED">
        <w:rPr>
          <w:rFonts w:cs="Arial"/>
          <w:sz w:val="22"/>
          <w:szCs w:val="22"/>
        </w:rPr>
        <w:t>To play a full part in the life of the Morris Education Trust and College community, to support its distinctive vision and ethos and to encourage staff and students to follow this example.</w:t>
      </w:r>
    </w:p>
    <w:p w:rsidR="00BB477E" w:rsidRPr="00B32BED" w:rsidRDefault="00BB477E" w:rsidP="00BB477E">
      <w:pPr>
        <w:pStyle w:val="ListParagraph"/>
        <w:numPr>
          <w:ilvl w:val="0"/>
          <w:numId w:val="29"/>
        </w:numPr>
        <w:contextualSpacing/>
        <w:rPr>
          <w:rFonts w:cs="Arial"/>
          <w:iCs/>
          <w:sz w:val="22"/>
          <w:szCs w:val="22"/>
        </w:rPr>
      </w:pPr>
      <w:r w:rsidRPr="00B32BED">
        <w:rPr>
          <w:rFonts w:cs="Arial"/>
          <w:iCs/>
          <w:sz w:val="22"/>
          <w:szCs w:val="22"/>
        </w:rPr>
        <w:t>Promote actively the Trust’s corporate policies</w:t>
      </w:r>
    </w:p>
    <w:p w:rsidR="00BB477E" w:rsidRPr="00B32BED" w:rsidRDefault="00BB477E" w:rsidP="00BB477E">
      <w:pPr>
        <w:pStyle w:val="ListParagraph"/>
        <w:numPr>
          <w:ilvl w:val="0"/>
          <w:numId w:val="29"/>
        </w:numPr>
        <w:contextualSpacing/>
        <w:rPr>
          <w:sz w:val="22"/>
          <w:szCs w:val="22"/>
        </w:rPr>
      </w:pPr>
      <w:r w:rsidRPr="00B32BED">
        <w:rPr>
          <w:rFonts w:cs="Arial"/>
          <w:iCs/>
          <w:sz w:val="22"/>
          <w:szCs w:val="22"/>
        </w:rPr>
        <w:t>Comply with the Trust’s Health &amp; Safety Policy</w:t>
      </w:r>
    </w:p>
    <w:p w:rsidR="00BB477E" w:rsidRPr="00B32BED" w:rsidRDefault="00BB477E" w:rsidP="00BB477E">
      <w:pPr>
        <w:pStyle w:val="ListParagraph"/>
        <w:numPr>
          <w:ilvl w:val="0"/>
          <w:numId w:val="29"/>
        </w:numPr>
        <w:contextualSpacing/>
        <w:rPr>
          <w:sz w:val="22"/>
          <w:szCs w:val="22"/>
        </w:rPr>
      </w:pPr>
      <w:r w:rsidRPr="00B32BED">
        <w:rPr>
          <w:sz w:val="22"/>
          <w:szCs w:val="22"/>
        </w:rPr>
        <w:t>To participate in the College’s appraisal scheme</w:t>
      </w:r>
    </w:p>
    <w:p w:rsidR="00F5266F" w:rsidRPr="00B32BED" w:rsidRDefault="00F5266F" w:rsidP="00A2425D">
      <w:pPr>
        <w:jc w:val="both"/>
        <w:rPr>
          <w:sz w:val="22"/>
          <w:szCs w:val="22"/>
        </w:rPr>
      </w:pPr>
    </w:p>
    <w:p w:rsidR="00BB477E" w:rsidRPr="00B32BED" w:rsidRDefault="00BB477E" w:rsidP="00BB477E">
      <w:pPr>
        <w:ind w:left="426" w:hanging="426"/>
        <w:jc w:val="both"/>
        <w:rPr>
          <w:rStyle w:val="Strong"/>
          <w:sz w:val="22"/>
          <w:szCs w:val="22"/>
        </w:rPr>
      </w:pPr>
      <w:r w:rsidRPr="00B32BED">
        <w:rPr>
          <w:rStyle w:val="Strong"/>
          <w:sz w:val="22"/>
          <w:szCs w:val="22"/>
        </w:rPr>
        <w:t>4.</w:t>
      </w:r>
      <w:r w:rsidRPr="00B32BED">
        <w:rPr>
          <w:rStyle w:val="Strong"/>
          <w:sz w:val="22"/>
          <w:szCs w:val="22"/>
        </w:rPr>
        <w:tab/>
        <w:t xml:space="preserve">Safeguarding   </w:t>
      </w:r>
    </w:p>
    <w:p w:rsidR="00BB3D5B" w:rsidRPr="00B32BED" w:rsidRDefault="00BB3D5B" w:rsidP="00BB477E">
      <w:pPr>
        <w:pStyle w:val="ListParagraph"/>
        <w:numPr>
          <w:ilvl w:val="0"/>
          <w:numId w:val="32"/>
        </w:numPr>
        <w:rPr>
          <w:rFonts w:cs="Arial"/>
          <w:sz w:val="22"/>
          <w:szCs w:val="22"/>
        </w:rPr>
      </w:pPr>
      <w:r w:rsidRPr="00B32BED">
        <w:rPr>
          <w:rFonts w:cs="Arial"/>
          <w:sz w:val="22"/>
          <w:szCs w:val="22"/>
        </w:rPr>
        <w:t>To be aware of safeguarding and promoting the welfare of children and vulnerable adults and to report any concerns in accordance with the College’s Safeguarding/Child Protection policies</w:t>
      </w:r>
    </w:p>
    <w:p w:rsidR="00BB3D5B" w:rsidRPr="00B32BED" w:rsidRDefault="00BB3D5B" w:rsidP="00BB477E">
      <w:pPr>
        <w:pStyle w:val="ListParagraph"/>
        <w:numPr>
          <w:ilvl w:val="0"/>
          <w:numId w:val="32"/>
        </w:numPr>
        <w:rPr>
          <w:rFonts w:cs="Arial"/>
          <w:sz w:val="22"/>
          <w:szCs w:val="22"/>
        </w:rPr>
      </w:pPr>
      <w:r w:rsidRPr="00B32BED">
        <w:rPr>
          <w:rFonts w:cs="Arial"/>
          <w:sz w:val="22"/>
          <w:szCs w:val="22"/>
        </w:rPr>
        <w:t xml:space="preserve">To undertake regular safeguarding/child protection/adult protection training as required by the College. </w:t>
      </w:r>
    </w:p>
    <w:p w:rsidR="005376D2" w:rsidRPr="00B32BED" w:rsidRDefault="005376D2" w:rsidP="00A2425D">
      <w:pPr>
        <w:rPr>
          <w:sz w:val="22"/>
          <w:szCs w:val="22"/>
        </w:rPr>
      </w:pPr>
    </w:p>
    <w:p w:rsidR="006B1623" w:rsidRPr="00B32BED" w:rsidRDefault="006B1623" w:rsidP="006B1623">
      <w:pPr>
        <w:rPr>
          <w:rFonts w:cs="Arial"/>
          <w:sz w:val="22"/>
          <w:szCs w:val="22"/>
        </w:rPr>
      </w:pPr>
      <w:r w:rsidRPr="00B32BED">
        <w:rPr>
          <w:rFonts w:cs="Arial"/>
          <w:sz w:val="22"/>
          <w:szCs w:val="22"/>
        </w:rPr>
        <w:lastRenderedPageBreak/>
        <w:t>Whilst every effort has been made to explain the main duties and responsibilities of the post, each individual task undertaken may not be identified.</w:t>
      </w:r>
    </w:p>
    <w:p w:rsidR="006B1623" w:rsidRPr="00B32BED" w:rsidRDefault="006B1623" w:rsidP="006B1623">
      <w:pPr>
        <w:ind w:left="612"/>
        <w:rPr>
          <w:rFonts w:cs="Arial"/>
          <w:sz w:val="22"/>
          <w:szCs w:val="22"/>
        </w:rPr>
      </w:pPr>
    </w:p>
    <w:p w:rsidR="006B1623" w:rsidRPr="00B32BED" w:rsidRDefault="006B1623" w:rsidP="006B1623">
      <w:pPr>
        <w:rPr>
          <w:rFonts w:cs="Arial"/>
          <w:sz w:val="22"/>
          <w:szCs w:val="22"/>
        </w:rPr>
      </w:pPr>
      <w:r w:rsidRPr="00B32BED">
        <w:rPr>
          <w:rFonts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rsidR="006B1623" w:rsidRPr="00B32BED" w:rsidRDefault="006B1623" w:rsidP="006B1623">
      <w:pPr>
        <w:pStyle w:val="ListParagraph"/>
        <w:ind w:left="0"/>
        <w:jc w:val="both"/>
        <w:rPr>
          <w:rFonts w:cs="Arial"/>
          <w:iCs/>
          <w:sz w:val="22"/>
          <w:szCs w:val="22"/>
        </w:rPr>
      </w:pPr>
    </w:p>
    <w:p w:rsidR="006B1623" w:rsidRPr="00B32BED" w:rsidRDefault="006B1623" w:rsidP="00A2425D">
      <w:pPr>
        <w:rPr>
          <w:b/>
          <w:sz w:val="22"/>
          <w:szCs w:val="22"/>
        </w:rPr>
      </w:pPr>
    </w:p>
    <w:p w:rsidR="005376D2" w:rsidRPr="00B32BED" w:rsidRDefault="00BB3D5B" w:rsidP="00A2425D">
      <w:pPr>
        <w:rPr>
          <w:b/>
          <w:sz w:val="22"/>
          <w:szCs w:val="22"/>
        </w:rPr>
      </w:pPr>
      <w:r w:rsidRPr="00B32BED">
        <w:rPr>
          <w:b/>
          <w:sz w:val="22"/>
          <w:szCs w:val="22"/>
        </w:rPr>
        <w:t>Signatures:</w:t>
      </w:r>
    </w:p>
    <w:p w:rsidR="005376D2" w:rsidRPr="00B32BED" w:rsidRDefault="005376D2" w:rsidP="00A2425D">
      <w:pPr>
        <w:rPr>
          <w:sz w:val="22"/>
          <w:szCs w:val="22"/>
        </w:rPr>
      </w:pPr>
    </w:p>
    <w:p w:rsidR="00A106CE" w:rsidRPr="00B32BED" w:rsidRDefault="00A106CE" w:rsidP="00A2425D">
      <w:pPr>
        <w:rPr>
          <w:sz w:val="22"/>
          <w:szCs w:val="22"/>
        </w:rPr>
      </w:pPr>
    </w:p>
    <w:p w:rsidR="005376D2" w:rsidRPr="00B32BED" w:rsidRDefault="00BB477E" w:rsidP="00A2425D">
      <w:pPr>
        <w:rPr>
          <w:sz w:val="22"/>
          <w:szCs w:val="22"/>
        </w:rPr>
      </w:pPr>
      <w:r w:rsidRPr="00B32BED">
        <w:rPr>
          <w:sz w:val="22"/>
          <w:szCs w:val="22"/>
        </w:rPr>
        <w:t>Post Holder:  …………………………………………  Date: ………………………….</w:t>
      </w:r>
    </w:p>
    <w:p w:rsidR="005376D2" w:rsidRPr="00B32BED" w:rsidRDefault="005376D2" w:rsidP="00A2425D">
      <w:pPr>
        <w:rPr>
          <w:sz w:val="22"/>
          <w:szCs w:val="22"/>
        </w:rPr>
      </w:pPr>
    </w:p>
    <w:p w:rsidR="00A106CE" w:rsidRPr="00B32BED" w:rsidRDefault="00A106CE" w:rsidP="00A2425D">
      <w:pPr>
        <w:rPr>
          <w:sz w:val="22"/>
          <w:szCs w:val="22"/>
        </w:rPr>
      </w:pPr>
    </w:p>
    <w:p w:rsidR="00A106CE" w:rsidRPr="00B32BED" w:rsidRDefault="00A106CE" w:rsidP="00A2425D">
      <w:pPr>
        <w:rPr>
          <w:sz w:val="22"/>
          <w:szCs w:val="22"/>
        </w:rPr>
      </w:pPr>
    </w:p>
    <w:p w:rsidR="005376D2" w:rsidRPr="00B32BED" w:rsidRDefault="00BB477E" w:rsidP="00A2425D">
      <w:pPr>
        <w:rPr>
          <w:sz w:val="22"/>
          <w:szCs w:val="22"/>
        </w:rPr>
      </w:pPr>
      <w:r w:rsidRPr="00B32BED">
        <w:rPr>
          <w:sz w:val="22"/>
          <w:szCs w:val="22"/>
        </w:rPr>
        <w:t>Line Manager: ……………………………………….   Date: …………………………..</w:t>
      </w:r>
    </w:p>
    <w:p w:rsidR="005376D2" w:rsidRPr="00B32BED" w:rsidRDefault="005376D2" w:rsidP="00A2425D">
      <w:pPr>
        <w:rPr>
          <w:sz w:val="22"/>
          <w:szCs w:val="22"/>
        </w:rPr>
      </w:pPr>
    </w:p>
    <w:sectPr w:rsidR="005376D2" w:rsidRPr="00B32BED" w:rsidSect="00BE26F0">
      <w:pgSz w:w="11906" w:h="16838"/>
      <w:pgMar w:top="873" w:right="1797" w:bottom="87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B2" w:rsidRDefault="001666B2" w:rsidP="00B15534">
      <w:r>
        <w:separator/>
      </w:r>
    </w:p>
  </w:endnote>
  <w:endnote w:type="continuationSeparator" w:id="0">
    <w:p w:rsidR="001666B2" w:rsidRDefault="001666B2" w:rsidP="00B1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B2" w:rsidRDefault="001666B2" w:rsidP="00B15534">
      <w:r>
        <w:separator/>
      </w:r>
    </w:p>
  </w:footnote>
  <w:footnote w:type="continuationSeparator" w:id="0">
    <w:p w:rsidR="001666B2" w:rsidRDefault="001666B2" w:rsidP="00B15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729D"/>
    <w:multiLevelType w:val="hybridMultilevel"/>
    <w:tmpl w:val="110E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27DE1"/>
    <w:multiLevelType w:val="multilevel"/>
    <w:tmpl w:val="400453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41E01"/>
    <w:multiLevelType w:val="hybridMultilevel"/>
    <w:tmpl w:val="9A7A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33E9F"/>
    <w:multiLevelType w:val="hybridMultilevel"/>
    <w:tmpl w:val="42E8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E36AF"/>
    <w:multiLevelType w:val="hybridMultilevel"/>
    <w:tmpl w:val="89B8E98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60E71"/>
    <w:multiLevelType w:val="hybridMultilevel"/>
    <w:tmpl w:val="765A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85985"/>
    <w:multiLevelType w:val="hybridMultilevel"/>
    <w:tmpl w:val="FC5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CB1"/>
    <w:multiLevelType w:val="multilevel"/>
    <w:tmpl w:val="42366878"/>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967B94"/>
    <w:multiLevelType w:val="hybridMultilevel"/>
    <w:tmpl w:val="7CFA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D42F1"/>
    <w:multiLevelType w:val="hybridMultilevel"/>
    <w:tmpl w:val="AD9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B74BE"/>
    <w:multiLevelType w:val="multilevel"/>
    <w:tmpl w:val="C218AE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8D23EF"/>
    <w:multiLevelType w:val="hybridMultilevel"/>
    <w:tmpl w:val="EB3047B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14040"/>
    <w:multiLevelType w:val="hybridMultilevel"/>
    <w:tmpl w:val="419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A1300"/>
    <w:multiLevelType w:val="hybridMultilevel"/>
    <w:tmpl w:val="4304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7109B"/>
    <w:multiLevelType w:val="multilevel"/>
    <w:tmpl w:val="723496B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6E1FB6"/>
    <w:multiLevelType w:val="hybridMultilevel"/>
    <w:tmpl w:val="965C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905E4"/>
    <w:multiLevelType w:val="hybridMultilevel"/>
    <w:tmpl w:val="4FA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B20EE"/>
    <w:multiLevelType w:val="multilevel"/>
    <w:tmpl w:val="0FC447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C04C2A"/>
    <w:multiLevelType w:val="hybridMultilevel"/>
    <w:tmpl w:val="37AC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A3EEE"/>
    <w:multiLevelType w:val="hybridMultilevel"/>
    <w:tmpl w:val="FE8A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23307"/>
    <w:multiLevelType w:val="hybridMultilevel"/>
    <w:tmpl w:val="51EE7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C1769"/>
    <w:multiLevelType w:val="hybridMultilevel"/>
    <w:tmpl w:val="7A24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26F80"/>
    <w:multiLevelType w:val="hybridMultilevel"/>
    <w:tmpl w:val="A13E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BD5145"/>
    <w:multiLevelType w:val="multilevel"/>
    <w:tmpl w:val="F4004C8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0E06FC"/>
    <w:multiLevelType w:val="hybridMultilevel"/>
    <w:tmpl w:val="5A5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F112F"/>
    <w:multiLevelType w:val="hybridMultilevel"/>
    <w:tmpl w:val="F60C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47137"/>
    <w:multiLevelType w:val="hybridMultilevel"/>
    <w:tmpl w:val="2AE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76F1D"/>
    <w:multiLevelType w:val="multilevel"/>
    <w:tmpl w:val="D0864886"/>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9E0EEB"/>
    <w:multiLevelType w:val="multilevel"/>
    <w:tmpl w:val="ECFC34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4B337D"/>
    <w:multiLevelType w:val="hybridMultilevel"/>
    <w:tmpl w:val="FC92F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0"/>
  </w:num>
  <w:num w:numId="4">
    <w:abstractNumId w:val="25"/>
  </w:num>
  <w:num w:numId="5">
    <w:abstractNumId w:val="4"/>
  </w:num>
  <w:num w:numId="6">
    <w:abstractNumId w:val="18"/>
  </w:num>
  <w:num w:numId="7">
    <w:abstractNumId w:val="28"/>
  </w:num>
  <w:num w:numId="8">
    <w:abstractNumId w:val="27"/>
  </w:num>
  <w:num w:numId="9">
    <w:abstractNumId w:val="2"/>
  </w:num>
  <w:num w:numId="10">
    <w:abstractNumId w:val="29"/>
  </w:num>
  <w:num w:numId="11">
    <w:abstractNumId w:val="15"/>
  </w:num>
  <w:num w:numId="12">
    <w:abstractNumId w:val="8"/>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9"/>
  </w:num>
  <w:num w:numId="17">
    <w:abstractNumId w:val="30"/>
  </w:num>
  <w:num w:numId="18">
    <w:abstractNumId w:val="22"/>
  </w:num>
  <w:num w:numId="19">
    <w:abstractNumId w:val="20"/>
  </w:num>
  <w:num w:numId="20">
    <w:abstractNumId w:val="13"/>
  </w:num>
  <w:num w:numId="21">
    <w:abstractNumId w:val="23"/>
  </w:num>
  <w:num w:numId="22">
    <w:abstractNumId w:val="26"/>
  </w:num>
  <w:num w:numId="23">
    <w:abstractNumId w:val="12"/>
  </w:num>
  <w:num w:numId="24">
    <w:abstractNumId w:val="5"/>
  </w:num>
  <w:num w:numId="25">
    <w:abstractNumId w:val="16"/>
  </w:num>
  <w:num w:numId="26">
    <w:abstractNumId w:val="14"/>
  </w:num>
  <w:num w:numId="27">
    <w:abstractNumId w:val="17"/>
  </w:num>
  <w:num w:numId="28">
    <w:abstractNumId w:val="9"/>
  </w:num>
  <w:num w:numId="29">
    <w:abstractNumId w:val="21"/>
  </w:num>
  <w:num w:numId="30">
    <w:abstractNumId w:val="7"/>
  </w:num>
  <w:num w:numId="31">
    <w:abstractNumId w:val="1"/>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55"/>
    <w:rsid w:val="00003962"/>
    <w:rsid w:val="00026CBC"/>
    <w:rsid w:val="00031B1E"/>
    <w:rsid w:val="00046AFD"/>
    <w:rsid w:val="00054BF6"/>
    <w:rsid w:val="00067001"/>
    <w:rsid w:val="00080994"/>
    <w:rsid w:val="00087E0E"/>
    <w:rsid w:val="000A7CD7"/>
    <w:rsid w:val="000D0FA6"/>
    <w:rsid w:val="0011266D"/>
    <w:rsid w:val="00132C99"/>
    <w:rsid w:val="00161623"/>
    <w:rsid w:val="001666B2"/>
    <w:rsid w:val="00177E55"/>
    <w:rsid w:val="001A4D9A"/>
    <w:rsid w:val="001C497A"/>
    <w:rsid w:val="001D0E16"/>
    <w:rsid w:val="001E63A4"/>
    <w:rsid w:val="001F64A6"/>
    <w:rsid w:val="001F73BF"/>
    <w:rsid w:val="0022566A"/>
    <w:rsid w:val="0023492A"/>
    <w:rsid w:val="00245122"/>
    <w:rsid w:val="0028373B"/>
    <w:rsid w:val="00312FF3"/>
    <w:rsid w:val="00351B8F"/>
    <w:rsid w:val="00353360"/>
    <w:rsid w:val="00353897"/>
    <w:rsid w:val="003877B5"/>
    <w:rsid w:val="003A4AA0"/>
    <w:rsid w:val="003D5035"/>
    <w:rsid w:val="003E6587"/>
    <w:rsid w:val="0043572C"/>
    <w:rsid w:val="004359CD"/>
    <w:rsid w:val="004476A5"/>
    <w:rsid w:val="00455541"/>
    <w:rsid w:val="00467305"/>
    <w:rsid w:val="004873BC"/>
    <w:rsid w:val="0049237F"/>
    <w:rsid w:val="004A05F7"/>
    <w:rsid w:val="004E54FD"/>
    <w:rsid w:val="004F2641"/>
    <w:rsid w:val="00523308"/>
    <w:rsid w:val="00531A82"/>
    <w:rsid w:val="005376D2"/>
    <w:rsid w:val="00561E95"/>
    <w:rsid w:val="005821D8"/>
    <w:rsid w:val="005F5342"/>
    <w:rsid w:val="00631700"/>
    <w:rsid w:val="006317EF"/>
    <w:rsid w:val="00640BD8"/>
    <w:rsid w:val="006736C7"/>
    <w:rsid w:val="00680C64"/>
    <w:rsid w:val="00697F2F"/>
    <w:rsid w:val="006B1623"/>
    <w:rsid w:val="006B288A"/>
    <w:rsid w:val="006C485A"/>
    <w:rsid w:val="006C4A3A"/>
    <w:rsid w:val="006F009A"/>
    <w:rsid w:val="006F04BC"/>
    <w:rsid w:val="007119AB"/>
    <w:rsid w:val="007151AB"/>
    <w:rsid w:val="007406B4"/>
    <w:rsid w:val="00753D3C"/>
    <w:rsid w:val="0078532A"/>
    <w:rsid w:val="0083036E"/>
    <w:rsid w:val="00834F25"/>
    <w:rsid w:val="008A1E24"/>
    <w:rsid w:val="008B37E3"/>
    <w:rsid w:val="008F269A"/>
    <w:rsid w:val="008F4D37"/>
    <w:rsid w:val="008F724F"/>
    <w:rsid w:val="00981281"/>
    <w:rsid w:val="009B0D10"/>
    <w:rsid w:val="009D1BC1"/>
    <w:rsid w:val="00A056B7"/>
    <w:rsid w:val="00A106CE"/>
    <w:rsid w:val="00A2425D"/>
    <w:rsid w:val="00A32C3A"/>
    <w:rsid w:val="00A535A7"/>
    <w:rsid w:val="00A5712C"/>
    <w:rsid w:val="00A611FA"/>
    <w:rsid w:val="00A84FDE"/>
    <w:rsid w:val="00A963C3"/>
    <w:rsid w:val="00AB110A"/>
    <w:rsid w:val="00AD2E28"/>
    <w:rsid w:val="00AE070B"/>
    <w:rsid w:val="00B00A25"/>
    <w:rsid w:val="00B15534"/>
    <w:rsid w:val="00B172CA"/>
    <w:rsid w:val="00B32BED"/>
    <w:rsid w:val="00B4449E"/>
    <w:rsid w:val="00B938B9"/>
    <w:rsid w:val="00BB3D5B"/>
    <w:rsid w:val="00BB477E"/>
    <w:rsid w:val="00BE26F0"/>
    <w:rsid w:val="00C10ED5"/>
    <w:rsid w:val="00C15E90"/>
    <w:rsid w:val="00C217C3"/>
    <w:rsid w:val="00C5495B"/>
    <w:rsid w:val="00C81FD2"/>
    <w:rsid w:val="00C879AD"/>
    <w:rsid w:val="00CA0EFA"/>
    <w:rsid w:val="00CB4C45"/>
    <w:rsid w:val="00D015C1"/>
    <w:rsid w:val="00D2161F"/>
    <w:rsid w:val="00D50BAA"/>
    <w:rsid w:val="00D73E5B"/>
    <w:rsid w:val="00D95D18"/>
    <w:rsid w:val="00DA7F0E"/>
    <w:rsid w:val="00DB2F10"/>
    <w:rsid w:val="00DB53CE"/>
    <w:rsid w:val="00DD590A"/>
    <w:rsid w:val="00DE09EE"/>
    <w:rsid w:val="00DF42E9"/>
    <w:rsid w:val="00E16343"/>
    <w:rsid w:val="00E66776"/>
    <w:rsid w:val="00E83CFE"/>
    <w:rsid w:val="00EE4404"/>
    <w:rsid w:val="00F52027"/>
    <w:rsid w:val="00F5266F"/>
    <w:rsid w:val="00F6590E"/>
    <w:rsid w:val="00F65E9C"/>
    <w:rsid w:val="00F7182F"/>
    <w:rsid w:val="00FB7544"/>
    <w:rsid w:val="00FB79AE"/>
    <w:rsid w:val="00FC7236"/>
    <w:rsid w:val="00FF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25A7E"/>
  <w15:docId w15:val="{B73E74D7-AD96-443F-8D0F-7A80EE4D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FDE"/>
    <w:pPr>
      <w:ind w:left="720"/>
    </w:pPr>
  </w:style>
  <w:style w:type="character" w:styleId="Strong">
    <w:name w:val="Strong"/>
    <w:basedOn w:val="DefaultParagraphFont"/>
    <w:qFormat/>
    <w:rsid w:val="00A056B7"/>
    <w:rPr>
      <w:b/>
      <w:bCs/>
    </w:rPr>
  </w:style>
  <w:style w:type="paragraph" w:styleId="BalloonText">
    <w:name w:val="Balloon Text"/>
    <w:basedOn w:val="Normal"/>
    <w:link w:val="BalloonTextChar"/>
    <w:rsid w:val="006F009A"/>
    <w:rPr>
      <w:rFonts w:ascii="Tahoma" w:hAnsi="Tahoma" w:cs="Tahoma"/>
      <w:sz w:val="16"/>
      <w:szCs w:val="16"/>
    </w:rPr>
  </w:style>
  <w:style w:type="character" w:customStyle="1" w:styleId="BalloonTextChar">
    <w:name w:val="Balloon Text Char"/>
    <w:basedOn w:val="DefaultParagraphFont"/>
    <w:link w:val="BalloonText"/>
    <w:rsid w:val="006F009A"/>
    <w:rPr>
      <w:rFonts w:ascii="Tahoma" w:hAnsi="Tahoma" w:cs="Tahoma"/>
      <w:sz w:val="16"/>
      <w:szCs w:val="16"/>
    </w:rPr>
  </w:style>
  <w:style w:type="paragraph" w:styleId="Header">
    <w:name w:val="header"/>
    <w:basedOn w:val="Normal"/>
    <w:link w:val="HeaderChar"/>
    <w:rsid w:val="00B15534"/>
    <w:pPr>
      <w:tabs>
        <w:tab w:val="center" w:pos="4513"/>
        <w:tab w:val="right" w:pos="9026"/>
      </w:tabs>
    </w:pPr>
  </w:style>
  <w:style w:type="character" w:customStyle="1" w:styleId="HeaderChar">
    <w:name w:val="Header Char"/>
    <w:basedOn w:val="DefaultParagraphFont"/>
    <w:link w:val="Header"/>
    <w:rsid w:val="00B15534"/>
    <w:rPr>
      <w:rFonts w:ascii="Helvetica" w:hAnsi="Helvetica"/>
      <w:sz w:val="24"/>
      <w:szCs w:val="24"/>
    </w:rPr>
  </w:style>
  <w:style w:type="paragraph" w:styleId="Footer">
    <w:name w:val="footer"/>
    <w:basedOn w:val="Normal"/>
    <w:link w:val="FooterChar"/>
    <w:rsid w:val="00B15534"/>
    <w:pPr>
      <w:tabs>
        <w:tab w:val="center" w:pos="4513"/>
        <w:tab w:val="right" w:pos="9026"/>
      </w:tabs>
    </w:pPr>
  </w:style>
  <w:style w:type="character" w:customStyle="1" w:styleId="FooterChar">
    <w:name w:val="Footer Char"/>
    <w:basedOn w:val="DefaultParagraphFont"/>
    <w:link w:val="Footer"/>
    <w:rsid w:val="00B1553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40393">
      <w:bodyDiv w:val="1"/>
      <w:marLeft w:val="0"/>
      <w:marRight w:val="0"/>
      <w:marTop w:val="0"/>
      <w:marBottom w:val="0"/>
      <w:divBdr>
        <w:top w:val="none" w:sz="0" w:space="0" w:color="auto"/>
        <w:left w:val="none" w:sz="0" w:space="0" w:color="auto"/>
        <w:bottom w:val="none" w:sz="0" w:space="0" w:color="auto"/>
        <w:right w:val="none" w:sz="0" w:space="0" w:color="auto"/>
      </w:divBdr>
    </w:div>
    <w:div w:id="15485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BF7C-BE8D-4A33-9B03-E9CB6FE2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CF120443.dotm</Template>
  <TotalTime>0</TotalTime>
  <Pages>2</Pages>
  <Words>620</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Impington Village College</vt:lpstr>
    </vt:vector>
  </TitlesOfParts>
  <Company>Impington Village College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Impington Village College</dc:title>
  <dc:creator>FDiFranco</dc:creator>
  <cp:lastModifiedBy>Susan Kay</cp:lastModifiedBy>
  <cp:revision>3</cp:revision>
  <cp:lastPrinted>2019-05-16T13:59:00Z</cp:lastPrinted>
  <dcterms:created xsi:type="dcterms:W3CDTF">2019-06-10T11:46:00Z</dcterms:created>
  <dcterms:modified xsi:type="dcterms:W3CDTF">2019-06-10T11:46:00Z</dcterms:modified>
</cp:coreProperties>
</file>