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1E281B">
            <w:pPr>
              <w:spacing w:before="16"/>
              <w:ind w:right="302"/>
              <w:rPr>
                <w:sz w:val="52"/>
                <w:szCs w:val="52"/>
              </w:rPr>
            </w:pP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Teacher 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Holding or in the process of completing </w:t>
            </w:r>
            <w:r w:rsidR="001E281B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E845B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BC774C">
              <w:rPr>
                <w:rFonts w:ascii="Arial" w:hAnsi="Arial" w:cs="Arial"/>
              </w:rPr>
              <w:t>Successful experience (including teacher training placement) with pupils in an 11-18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AF/SS/I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An understanding of the diverse learning and social needs of children aged 11-18</w:t>
            </w:r>
          </w:p>
          <w:p w:rsidR="00AC07A0" w:rsidRPr="00BC774C" w:rsidRDefault="00AC07A0" w:rsidP="00AC0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SS/I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RPr="00BC774C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Good ambassador for the school with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contribute to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working for the benefit of others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the National Curriculum and a GCSE Syllabus</w:t>
            </w:r>
          </w:p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assess the progress that pupils make in the classroom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47425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plan effective lessons that engage learners, enable pupils to make outstanding progress</w:t>
            </w:r>
          </w:p>
          <w:p w:rsidR="00D47425" w:rsidRPr="00BC774C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995689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an A’ Level examination syllabus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Familiarity with ICT systems such as SIMs and Interactive whiteboards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6769"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 </w:t>
            </w:r>
            <w:r w:rsidR="00EF4B9A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Ability </w:t>
            </w:r>
            <w:r w:rsidR="00AE5624"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Ability to review, evaluate and learn from own classroom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8795C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5624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10EAA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0"/>
        <w:gridCol w:w="1416"/>
        <w:gridCol w:w="1278"/>
      </w:tblGrid>
      <w:tr w:rsidR="00721030" w:rsidRPr="00BC774C" w:rsidTr="00721030">
        <w:trPr>
          <w:trHeight w:hRule="exact" w:val="518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4. Wider engagement and contribution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721030" w:rsidRPr="00BC774C" w:rsidTr="00721030">
        <w:trPr>
          <w:trHeight w:hRule="exact" w:val="600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1.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 xml:space="preserve">Ability to build and maintain effective relationships with parents, carers, partners, governors and the 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lastRenderedPageBreak/>
              <w:t>community that</w:t>
            </w:r>
          </w:p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enhance the education of all pupils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21030" w:rsidRPr="00BC774C" w:rsidTr="00721030">
        <w:trPr>
          <w:trHeight w:hRule="exact" w:val="547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3.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 xml:space="preserve">Ability to collaborate and network with other schools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  <w:bookmarkStart w:id="0" w:name="_GoBack"/>
      <w:bookmarkEnd w:id="0"/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p w:rsidR="0014484D" w:rsidRPr="00BC774C" w:rsidRDefault="0014484D">
      <w:pPr>
        <w:rPr>
          <w:rFonts w:ascii="Arial" w:hAnsi="Arial" w:cs="Arial"/>
          <w:sz w:val="22"/>
          <w:szCs w:val="22"/>
        </w:rPr>
      </w:pPr>
    </w:p>
    <w:sectPr w:rsidR="0014484D" w:rsidRPr="00BC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3D" w:rsidRDefault="00DA483D" w:rsidP="002853E1">
      <w:r>
        <w:separator/>
      </w:r>
    </w:p>
  </w:endnote>
  <w:endnote w:type="continuationSeparator" w:id="0">
    <w:p w:rsidR="00DA483D" w:rsidRDefault="00DA483D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74C" w:rsidRPr="00BC774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3D" w:rsidRDefault="00DA483D" w:rsidP="002853E1">
      <w:r>
        <w:separator/>
      </w:r>
    </w:p>
  </w:footnote>
  <w:footnote w:type="continuationSeparator" w:id="0">
    <w:p w:rsidR="00DA483D" w:rsidRDefault="00DA483D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14484D"/>
    <w:rsid w:val="0016759B"/>
    <w:rsid w:val="00190B00"/>
    <w:rsid w:val="001E281B"/>
    <w:rsid w:val="001F0D78"/>
    <w:rsid w:val="002853E1"/>
    <w:rsid w:val="002D284C"/>
    <w:rsid w:val="003A2866"/>
    <w:rsid w:val="004D2110"/>
    <w:rsid w:val="00666769"/>
    <w:rsid w:val="00697910"/>
    <w:rsid w:val="00712C13"/>
    <w:rsid w:val="00721030"/>
    <w:rsid w:val="00853B47"/>
    <w:rsid w:val="00995689"/>
    <w:rsid w:val="00A43E33"/>
    <w:rsid w:val="00AC07A0"/>
    <w:rsid w:val="00AE5624"/>
    <w:rsid w:val="00B421F1"/>
    <w:rsid w:val="00BC774C"/>
    <w:rsid w:val="00D47425"/>
    <w:rsid w:val="00D8795C"/>
    <w:rsid w:val="00DA483D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AC2B-EEDF-417A-8CBB-F315BD7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dcterms:created xsi:type="dcterms:W3CDTF">2019-12-05T08:11:00Z</dcterms:created>
  <dcterms:modified xsi:type="dcterms:W3CDTF">2019-12-05T08:11:00Z</dcterms:modified>
</cp:coreProperties>
</file>