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sz w:val="20"/>
          <w:szCs w:val="20"/>
          <w:u w:val="single"/>
        </w:rPr>
      </w:pPr>
      <w:r w:rsidDel="00000000" w:rsidR="00000000" w:rsidRPr="00000000">
        <w:rPr>
          <w:rFonts w:ascii="PT Sans" w:cs="PT Sans" w:eastAsia="PT Sans" w:hAnsi="PT Sans"/>
          <w:b w:val="1"/>
          <w:color w:val="000000"/>
          <w:sz w:val="20"/>
          <w:szCs w:val="20"/>
          <w:u w:val="single"/>
          <w:rtl w:val="0"/>
        </w:rPr>
        <w:t xml:space="preserve">Job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b w:val="1"/>
          <w:color w:val="000000"/>
          <w:sz w:val="20"/>
          <w:szCs w:val="20"/>
          <w:rtl w:val="0"/>
        </w:rPr>
        <w:t xml:space="preserve">Job title:</w:t>
      </w:r>
      <w:r w:rsidDel="00000000" w:rsidR="00000000" w:rsidRPr="00000000">
        <w:rPr>
          <w:rFonts w:ascii="PT Sans" w:cs="PT Sans" w:eastAsia="PT Sans" w:hAnsi="PT Sans"/>
          <w:color w:val="000000"/>
          <w:sz w:val="20"/>
          <w:szCs w:val="20"/>
          <w:rtl w:val="0"/>
        </w:rPr>
        <w:t xml:space="preserve"> </w:t>
        <w:tab/>
        <w:tab/>
        <w:t xml:space="preserve">Teacher of ICT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b w:val="1"/>
          <w:color w:val="000000"/>
          <w:sz w:val="20"/>
          <w:szCs w:val="20"/>
          <w:rtl w:val="0"/>
        </w:rPr>
        <w:t xml:space="preserve">Location:</w:t>
        <w:tab/>
        <w:tab/>
      </w:r>
      <w:r w:rsidDel="00000000" w:rsidR="00000000" w:rsidRPr="00000000">
        <w:rPr>
          <w:rFonts w:ascii="PT Sans" w:cs="PT Sans" w:eastAsia="PT Sans" w:hAnsi="PT Sans"/>
          <w:color w:val="000000"/>
          <w:sz w:val="20"/>
          <w:szCs w:val="20"/>
          <w:rtl w:val="0"/>
        </w:rPr>
        <w:t xml:space="preserve">Kingswood Academy, Wawne Road, Hull, HU7 4WR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b w:val="1"/>
          <w:color w:val="000000"/>
          <w:sz w:val="20"/>
          <w:szCs w:val="20"/>
          <w:rtl w:val="0"/>
        </w:rPr>
        <w:t xml:space="preserve">Hours of work:</w:t>
        <w:tab/>
        <w:tab/>
      </w:r>
      <w:r w:rsidDel="00000000" w:rsidR="00000000" w:rsidRPr="00000000">
        <w:rPr>
          <w:rFonts w:ascii="PT Sans" w:cs="PT Sans" w:eastAsia="PT Sans" w:hAnsi="PT Sans"/>
          <w:color w:val="000000"/>
          <w:sz w:val="20"/>
          <w:szCs w:val="20"/>
          <w:rtl w:val="0"/>
        </w:rPr>
        <w:t xml:space="preserve">Full time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b w:val="1"/>
          <w:color w:val="000000"/>
          <w:sz w:val="20"/>
          <w:szCs w:val="20"/>
          <w:rtl w:val="0"/>
        </w:rPr>
        <w:t xml:space="preserve">Accountable to:</w:t>
      </w:r>
      <w:r w:rsidDel="00000000" w:rsidR="00000000" w:rsidRPr="00000000">
        <w:rPr>
          <w:rFonts w:ascii="PT Sans" w:cs="PT Sans" w:eastAsia="PT Sans" w:hAnsi="PT Sans"/>
          <w:color w:val="000000"/>
          <w:sz w:val="20"/>
          <w:szCs w:val="20"/>
          <w:rtl w:val="0"/>
        </w:rPr>
        <w:t xml:space="preserve"> </w:t>
        <w:tab/>
        <w:tab/>
        <w:t xml:space="preserve">Head of Department</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b w:val="1"/>
          <w:color w:val="000000"/>
          <w:sz w:val="20"/>
          <w:szCs w:val="20"/>
          <w:rtl w:val="0"/>
        </w:rPr>
        <w:t xml:space="preserve">Salary Grade / Range:</w:t>
      </w:r>
      <w:r w:rsidDel="00000000" w:rsidR="00000000" w:rsidRPr="00000000">
        <w:rPr>
          <w:rFonts w:ascii="PT Sans" w:cs="PT Sans" w:eastAsia="PT Sans" w:hAnsi="PT Sans"/>
          <w:color w:val="000000"/>
          <w:sz w:val="20"/>
          <w:szCs w:val="20"/>
          <w:rtl w:val="0"/>
        </w:rPr>
        <w:t xml:space="preserve"> </w:t>
        <w:tab/>
        <w:t xml:space="preserve">MPS/UPS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sz w:val="20"/>
          <w:szCs w:val="20"/>
          <w:u w:val="single"/>
        </w:rPr>
      </w:pPr>
      <w:r w:rsidDel="00000000" w:rsidR="00000000" w:rsidRPr="00000000">
        <w:rPr>
          <w:rFonts w:ascii="PT Sans" w:cs="PT Sans" w:eastAsia="PT Sans" w:hAnsi="PT Sans"/>
          <w:b w:val="1"/>
          <w:color w:val="000000"/>
          <w:sz w:val="20"/>
          <w:szCs w:val="20"/>
          <w:u w:val="single"/>
          <w:rtl w:val="0"/>
        </w:rPr>
        <w:t xml:space="preserve">Purpose of Post: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sz w:val="20"/>
          <w:szCs w:val="20"/>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Due to the continuing growth of the academy and based on our excellent results and our strong reputation we are seeking to appoint an inspirational Teacher of ICT with a passion for accelerating progress within our ICT department.</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PT Sans" w:cs="PT Sans" w:eastAsia="PT Sans" w:hAnsi="PT Sans"/>
          <w:color w:val="231f20"/>
          <w:sz w:val="20"/>
          <w:szCs w:val="20"/>
          <w:highlight w:val="white"/>
        </w:rPr>
      </w:pPr>
      <w:r w:rsidDel="00000000" w:rsidR="00000000" w:rsidRPr="00000000">
        <w:rPr>
          <w:rFonts w:ascii="PT Sans" w:cs="PT Sans" w:eastAsia="PT Sans" w:hAnsi="PT Sans"/>
          <w:color w:val="231f20"/>
          <w:sz w:val="20"/>
          <w:szCs w:val="20"/>
          <w:highlight w:val="white"/>
          <w:rtl w:val="0"/>
        </w:rPr>
        <w:t xml:space="preserve">Candidates must be able to teach across the ability and age range, supporting the development of ICT to the highest standards for all pupils at Key Stages 3 and 4.</w:t>
      </w:r>
    </w:p>
    <w:p w:rsidR="00000000" w:rsidDel="00000000" w:rsidP="00000000" w:rsidRDefault="00000000" w:rsidRPr="00000000" w14:paraId="00000011">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2">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PT Sans" w:cs="PT Sans" w:eastAsia="PT Sans" w:hAnsi="PT Sans"/>
          <w:b w:val="1"/>
          <w:sz w:val="20"/>
          <w:szCs w:val="20"/>
        </w:rPr>
      </w:pPr>
      <w:r w:rsidDel="00000000" w:rsidR="00000000" w:rsidRPr="00000000">
        <w:rPr>
          <w:rFonts w:ascii="PT Sans" w:cs="PT Sans" w:eastAsia="PT Sans" w:hAnsi="PT Sans"/>
          <w:b w:val="1"/>
          <w:color w:val="000000"/>
          <w:sz w:val="20"/>
          <w:szCs w:val="20"/>
          <w:rtl w:val="0"/>
        </w:rPr>
        <w:t xml:space="preserve">Responsibilities:</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rFonts w:ascii="PT Sans" w:cs="PT Sans" w:eastAsia="PT Sans" w:hAnsi="PT Sans"/>
          <w:b w:val="1"/>
          <w:color w:val="000000"/>
          <w:sz w:val="20"/>
          <w:szCs w:val="20"/>
          <w:rtl w:val="0"/>
        </w:rPr>
        <w:t xml:space="preserve">Live and breathe our vision and key drivers</w:t>
      </w:r>
      <w:r w:rsidDel="00000000" w:rsidR="00000000" w:rsidRPr="00000000">
        <w:rPr>
          <w:rFonts w:ascii="PT Sans" w:cs="PT Sans" w:eastAsia="PT Sans" w:hAnsi="PT Sans"/>
          <w:color w:val="000000"/>
          <w:sz w:val="20"/>
          <w:szCs w:val="20"/>
          <w:rtl w:val="0"/>
        </w:rPr>
        <w:t xml:space="preserve">;</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Deliver a consistently high quality of teaching, learning, assessment and high standards of achievement;</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Meet the Kingswood Academy Teaching and Learning Standard and the Kingswood Standard of Marking. Also addressing any underperformance where the standards are not met;</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Evaluate student target and performance data for their teaching as required, and ensure it is analysed as set out in the academy calendar or other such documents;</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Positively engage and partake in all activities and events on the Kingswood Academy Assessment Calendar;</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Demonstrate positive approaches in matters relating to student discipline and contact with parents and so forth;</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Assist in producing and updating programmes of study and schemes of work including suitable assessments for each learning cycle for the ICT department;</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Ensure that there is an atmosphere conducive to quality learning within the curriculum area, and that students’ experiences are challenging, stimulating and differentiated according to need;</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To ensure provision for different groups of students within the subject, including SEND, higher ability, disadvantaged, etc.;</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Ensure that all lessons taught are in line with good practice as identified in the academy wide or department improvement plan;</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To be an active member of the department through involvement in course development, consultation and planning on whole academy issues;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To undertake other tasks as appropriate and consistent with the Teachers’ Pay and Conditions of service;</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All staff who are appointed to the academy are expected to teach across the age and ability range;</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All teachers are expected to act as an Academic Mentor in accordance with the academy requirements.;</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All staff are expected to develop the academy’s commitment to the principle of equal value and work to achieve the aims of the academy mission statement;</w:t>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All staff are expected to participate in opportunities for collective decision making including staff appointment and policy making; </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All staff are expected to take a whole academy perspective in monitoring student behaviour outside the classroom paying particular attention to care and respect of the environment, adherence to expectations, uniform and time keeping;</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Such other duties as may be required by the Headteacher.</w:t>
      </w:r>
    </w:p>
    <w:p w:rsidR="00000000" w:rsidDel="00000000" w:rsidP="00000000" w:rsidRDefault="00000000" w:rsidRPr="00000000" w14:paraId="0000002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Academic Mentors are expected to: </w:t>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Mark and maintain registers of attendance;</w:t>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Deliver the Academic Mentoring programme through Academic mentoring (30 mins per day);</w:t>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Monitor the academic progress of students, guiding and advising them on areas for improvement; </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Maintain and monitor records on students’ behaviour, following up on incidents in lessons while also recognising and rewarding students’ achievements; </w:t>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Monitor students’ uniform and ensuring they are equipped for lessons; </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Link with parents to help students’ to improve their attendance, punctuality, behaviour and academic progress;</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Teach elements of the PSHE and ‘Character Education’ scheme of work.</w:t>
      </w:r>
    </w:p>
    <w:p w:rsidR="00000000" w:rsidDel="00000000" w:rsidP="00000000" w:rsidRDefault="00000000" w:rsidRPr="00000000" w14:paraId="0000002E">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Impact on educational progress beyond assigned pupils</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Monitor and evaluate assessment data across their classes to evaluate trends in student performance and issues for development;</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Implement intervention strategies to address issues for development that are identified;</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Evaluate and report on the effectiveness of intervention strategies used to address identified issues;</w:t>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Identify quantifiable and challenging pupil progress target levels and objectives;</w:t>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Plan appropriate strategies to achieve pupil progress targets and objectives;</w:t>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Ensure that agreed student target grades levels are achieved or exceeded;</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pacing w:after="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Encourage students’ motivation and enthusiasm, developing positive responses to challenge and high expectations;</w:t>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Monitor the objectives and targets for students with SEN and promote the importance of raising their achievement. </w:t>
      </w:r>
    </w:p>
    <w:p w:rsidR="00000000" w:rsidDel="00000000" w:rsidP="00000000" w:rsidRDefault="00000000" w:rsidRPr="00000000" w14:paraId="00000037">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8">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9">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A">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B">
      <w:pPr>
        <w:spacing w:after="0" w:line="240" w:lineRule="auto"/>
        <w:rPr>
          <w:rFonts w:ascii="PT Sans" w:cs="PT Sans" w:eastAsia="PT Sans" w:hAnsi="PT Sans"/>
          <w:sz w:val="20"/>
          <w:szCs w:val="20"/>
          <w:u w:val="single"/>
        </w:rPr>
      </w:pPr>
      <w:r w:rsidDel="00000000" w:rsidR="00000000" w:rsidRPr="00000000">
        <w:rPr>
          <w:rFonts w:ascii="PT Sans" w:cs="PT Sans" w:eastAsia="PT Sans" w:hAnsi="PT Sans"/>
          <w:b w:val="1"/>
          <w:color w:val="222222"/>
          <w:sz w:val="20"/>
          <w:szCs w:val="20"/>
          <w:u w:val="single"/>
          <w:rtl w:val="0"/>
        </w:rPr>
        <w:t xml:space="preserve">Kingswood Academy Mission</w:t>
      </w:r>
      <w:r w:rsidDel="00000000" w:rsidR="00000000" w:rsidRPr="00000000">
        <w:rPr>
          <w:rtl w:val="0"/>
        </w:rPr>
      </w:r>
    </w:p>
    <w:p w:rsidR="00000000" w:rsidDel="00000000" w:rsidP="00000000" w:rsidRDefault="00000000" w:rsidRPr="00000000" w14:paraId="0000003C">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Ultimately our Mission is to ensure that: ‘all students have an inner-belief and ambition to fulfil their dreams and live a happy and successful life.’ We are passionate about our students ‘recognising their academic worth’ and making sure that they are ‘prepared to make bold choices in order to secure places, and thrive, at the most reputable and highest performing colleges, universities and world-class employers.’</w:t>
      </w:r>
    </w:p>
    <w:p w:rsidR="00000000" w:rsidDel="00000000" w:rsidP="00000000" w:rsidRDefault="00000000" w:rsidRPr="00000000" w14:paraId="0000003E">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PT Sans" w:cs="PT Sans" w:eastAsia="PT Sans" w:hAnsi="PT Sans"/>
          <w:sz w:val="20"/>
          <w:szCs w:val="20"/>
          <w:u w:val="single"/>
        </w:rPr>
      </w:pPr>
      <w:r w:rsidDel="00000000" w:rsidR="00000000" w:rsidRPr="00000000">
        <w:rPr>
          <w:rFonts w:ascii="PT Sans" w:cs="PT Sans" w:eastAsia="PT Sans" w:hAnsi="PT Sans"/>
          <w:b w:val="1"/>
          <w:color w:val="222222"/>
          <w:sz w:val="20"/>
          <w:szCs w:val="20"/>
          <w:u w:val="single"/>
          <w:rtl w:val="0"/>
        </w:rPr>
        <w:t xml:space="preserve">Kingswood Academy Key Drivers</w:t>
      </w:r>
      <w:r w:rsidDel="00000000" w:rsidR="00000000" w:rsidRPr="00000000">
        <w:rPr>
          <w:rtl w:val="0"/>
        </w:rPr>
      </w:r>
    </w:p>
    <w:p w:rsidR="00000000" w:rsidDel="00000000" w:rsidP="00000000" w:rsidRDefault="00000000" w:rsidRPr="00000000" w14:paraId="00000040">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live and breathe our key drivers which are:</w:t>
      </w:r>
    </w:p>
    <w:p w:rsidR="00000000" w:rsidDel="00000000" w:rsidP="00000000" w:rsidRDefault="00000000" w:rsidRPr="00000000" w14:paraId="00000042">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highest expectations</w:t>
      </w:r>
    </w:p>
    <w:p w:rsidR="00000000" w:rsidDel="00000000" w:rsidP="00000000" w:rsidRDefault="00000000" w:rsidRPr="00000000" w14:paraId="00000044">
      <w:pPr>
        <w:numPr>
          <w:ilvl w:val="0"/>
          <w:numId w:val="2"/>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Never give up</w:t>
      </w:r>
    </w:p>
    <w:p w:rsidR="00000000" w:rsidDel="00000000" w:rsidP="00000000" w:rsidRDefault="00000000" w:rsidRPr="00000000" w14:paraId="00000045">
      <w:pPr>
        <w:numPr>
          <w:ilvl w:val="0"/>
          <w:numId w:val="2"/>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Everyone is valued</w:t>
      </w:r>
    </w:p>
    <w:p w:rsidR="00000000" w:rsidDel="00000000" w:rsidP="00000000" w:rsidRDefault="00000000" w:rsidRPr="00000000" w14:paraId="00000046">
      <w:pPr>
        <w:numPr>
          <w:ilvl w:val="0"/>
          <w:numId w:val="2"/>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 feedback</w:t>
      </w:r>
    </w:p>
    <w:p w:rsidR="00000000" w:rsidDel="00000000" w:rsidP="00000000" w:rsidRDefault="00000000" w:rsidRPr="00000000" w14:paraId="00000047">
      <w:pPr>
        <w:numPr>
          <w:ilvl w:val="0"/>
          <w:numId w:val="2"/>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No excuses</w:t>
      </w:r>
    </w:p>
    <w:p w:rsidR="00000000" w:rsidDel="00000000" w:rsidP="00000000" w:rsidRDefault="00000000" w:rsidRPr="00000000" w14:paraId="00000048">
      <w:pPr>
        <w:numPr>
          <w:ilvl w:val="0"/>
          <w:numId w:val="2"/>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Outstanding learning</w:t>
      </w:r>
    </w:p>
    <w:p w:rsidR="00000000" w:rsidDel="00000000" w:rsidP="00000000" w:rsidRDefault="00000000" w:rsidRPr="00000000" w14:paraId="00000049">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4A">
      <w:pPr>
        <w:spacing w:after="0" w:line="240" w:lineRule="auto"/>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Academies Enterprise Trust Employee Value Proposition:</w:t>
      </w:r>
    </w:p>
    <w:p w:rsidR="00000000" w:rsidDel="00000000" w:rsidP="00000000" w:rsidRDefault="00000000" w:rsidRPr="00000000" w14:paraId="0000004B">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4C">
      <w:pPr>
        <w:spacing w:after="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D">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4E">
      <w:pPr>
        <w:spacing w:after="0" w:line="240" w:lineRule="auto"/>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4F">
      <w:pPr>
        <w:spacing w:after="0" w:line="240" w:lineRule="auto"/>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51">
      <w:pPr>
        <w:spacing w:after="0" w:line="240" w:lineRule="auto"/>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52">
      <w:pPr>
        <w:numPr>
          <w:ilvl w:val="0"/>
          <w:numId w:val="4"/>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53">
      <w:pPr>
        <w:numPr>
          <w:ilvl w:val="0"/>
          <w:numId w:val="4"/>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54">
      <w:pPr>
        <w:numPr>
          <w:ilvl w:val="0"/>
          <w:numId w:val="4"/>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55">
      <w:pPr>
        <w:numPr>
          <w:ilvl w:val="0"/>
          <w:numId w:val="4"/>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56">
      <w:pPr>
        <w:spacing w:after="0" w:line="240" w:lineRule="auto"/>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59">
      <w:pPr>
        <w:spacing w:after="0" w:lineRule="auto"/>
        <w:ind w:left="860" w:hanging="360"/>
        <w:rPr>
          <w:rFonts w:ascii="PT Sans" w:cs="PT Sans" w:eastAsia="PT Sans" w:hAnsi="PT Sans"/>
          <w:b w:val="1"/>
          <w:color w:val="222222"/>
          <w:sz w:val="20"/>
          <w:szCs w:val="20"/>
        </w:rPr>
      </w:pPr>
      <w:r w:rsidDel="00000000" w:rsidR="00000000" w:rsidRPr="00000000">
        <w:rPr>
          <w:rFonts w:ascii="PT Sans" w:cs="PT Sans" w:eastAsia="PT Sans" w:hAnsi="PT Sans"/>
          <w:color w:val="222222"/>
          <w:sz w:val="20"/>
          <w:szCs w:val="20"/>
          <w:rtl w:val="0"/>
        </w:rPr>
        <w:t xml:space="preserve">1.    The above responsibilities are subject to the general duties and responsibilities contained in the Statement of Teachers’ Pay and Conditions. </w:t>
      </w:r>
      <w:r w:rsidDel="00000000" w:rsidR="00000000" w:rsidRPr="00000000">
        <w:rPr>
          <w:rtl w:val="0"/>
        </w:rPr>
      </w:r>
    </w:p>
    <w:p w:rsidR="00000000" w:rsidDel="00000000" w:rsidP="00000000" w:rsidRDefault="00000000" w:rsidRPr="00000000" w14:paraId="0000005A">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B">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C">
      <w:pPr>
        <w:spacing w:after="0" w:lineRule="auto"/>
        <w:ind w:left="860" w:hanging="360"/>
        <w:rPr>
          <w:rFonts w:ascii="PT Sans" w:cs="PT Sans" w:eastAsia="PT Sans" w:hAnsi="PT Sans"/>
          <w:b w:val="1"/>
          <w:color w:val="222222"/>
          <w:sz w:val="20"/>
          <w:szCs w:val="20"/>
          <w:highlight w:val="white"/>
        </w:rPr>
      </w:pPr>
      <w:r w:rsidDel="00000000" w:rsidR="00000000" w:rsidRPr="00000000">
        <w:rPr>
          <w:rFonts w:ascii="PT Sans" w:cs="PT Sans" w:eastAsia="PT Sans" w:hAnsi="PT Sans"/>
          <w:color w:val="222222"/>
          <w:sz w:val="20"/>
          <w:szCs w:val="20"/>
          <w:rtl w:val="0"/>
        </w:rPr>
        <w:t xml:space="preserve">4.</w:t>
        <w:tab/>
        <w:t xml:space="preserve">This job description may be varied to meet the changing demands of the academy at the reasonable discretion of the Headteacher/Group/Chief Executive</w:t>
      </w:r>
      <w:r w:rsidDel="00000000" w:rsidR="00000000" w:rsidRPr="00000000">
        <w:rPr>
          <w:rtl w:val="0"/>
        </w:rPr>
      </w:r>
    </w:p>
    <w:p w:rsidR="00000000" w:rsidDel="00000000" w:rsidP="00000000" w:rsidRDefault="00000000" w:rsidRPr="00000000" w14:paraId="0000005D">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E">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5F">
      <w:pPr>
        <w:spacing w:after="0"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60">
      <w:pPr>
        <w:spacing w:after="0"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61">
      <w:pPr>
        <w:spacing w:after="0"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p w:rsidR="00000000" w:rsidDel="00000000" w:rsidP="00000000" w:rsidRDefault="00000000" w:rsidRPr="00000000" w14:paraId="00000062">
      <w:pPr>
        <w:spacing w:after="0" w:lineRule="auto"/>
        <w:rPr>
          <w:rFonts w:ascii="PT Sans" w:cs="PT Sans" w:eastAsia="PT Sans" w:hAnsi="PT Sans"/>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63">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65">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Teacher of ICT</w:t>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67">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6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6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6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6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6C">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Qualified Teacher Status</w:t>
            </w:r>
          </w:p>
          <w:p w:rsidR="00000000" w:rsidDel="00000000" w:rsidP="00000000" w:rsidRDefault="00000000" w:rsidRPr="00000000" w14:paraId="0000006D">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honours degree</w:t>
            </w:r>
          </w:p>
          <w:p w:rsidR="00000000" w:rsidDel="00000000" w:rsidP="00000000" w:rsidRDefault="00000000" w:rsidRPr="00000000" w14:paraId="0000006E">
            <w:pPr>
              <w:spacing w:after="0" w:line="240" w:lineRule="auto"/>
              <w:ind w:left="360" w:firstLine="0"/>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F">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recent professional development related to teaching and learning</w:t>
            </w:r>
          </w:p>
        </w:tc>
      </w:tr>
      <w:tr>
        <w:tc>
          <w:tcPr/>
          <w:p w:rsidR="00000000" w:rsidDel="00000000" w:rsidP="00000000" w:rsidRDefault="00000000" w:rsidRPr="00000000" w14:paraId="00000070">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Knowledge/Experience</w:t>
            </w:r>
          </w:p>
        </w:tc>
        <w:tc>
          <w:tcPr/>
          <w:p w:rsidR="00000000" w:rsidDel="00000000" w:rsidP="00000000" w:rsidRDefault="00000000" w:rsidRPr="00000000" w14:paraId="0000007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 experience required for the role</w:t>
            </w:r>
          </w:p>
        </w:tc>
        <w:tc>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Up to date pedagogy, particularly in relation to teaching and learning</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Understanding of relevant research and best practice relating to the teaching and learning of ICT, particularly the strategies which deliver most impact in the classroom.</w:t>
            </w:r>
          </w:p>
        </w:tc>
        <w:tc>
          <w:tcPr/>
          <w:p w:rsidR="00000000" w:rsidDel="00000000" w:rsidP="00000000" w:rsidRDefault="00000000" w:rsidRPr="00000000" w14:paraId="00000074">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Post in at least one school which was in a challenging urban circumstances</w:t>
            </w:r>
          </w:p>
          <w:p w:rsidR="00000000" w:rsidDel="00000000" w:rsidP="00000000" w:rsidRDefault="00000000" w:rsidRPr="00000000" w14:paraId="00000075">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working successfully in a secondary school environment</w:t>
            </w:r>
          </w:p>
        </w:tc>
      </w:tr>
      <w:tr>
        <w:tc>
          <w:tcPr/>
          <w:p w:rsidR="00000000" w:rsidDel="00000000" w:rsidP="00000000" w:rsidRDefault="00000000" w:rsidRPr="00000000" w14:paraId="00000076">
            <w:pPr>
              <w:widowControl w:val="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p w:rsidR="00000000" w:rsidDel="00000000" w:rsidP="00000000" w:rsidRDefault="00000000" w:rsidRPr="00000000" w14:paraId="00000077">
            <w:pPr>
              <w:widowControl w:val="0"/>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78">
            <w:pPr>
              <w:widowControl w:val="0"/>
              <w:rPr>
                <w:rFonts w:ascii="PT Sans" w:cs="PT Sans" w:eastAsia="PT Sans" w:hAnsi="PT Sans"/>
                <w:b w:val="1"/>
                <w:sz w:val="20"/>
                <w:szCs w:val="20"/>
              </w:rPr>
            </w:pPr>
            <w:r w:rsidDel="00000000" w:rsidR="00000000" w:rsidRPr="00000000">
              <w:rPr>
                <w:rtl w:val="0"/>
              </w:rPr>
            </w:r>
          </w:p>
        </w:tc>
        <w:tc>
          <w:tcPr/>
          <w:p w:rsidR="00000000" w:rsidDel="00000000" w:rsidP="00000000" w:rsidRDefault="00000000" w:rsidRPr="00000000" w14:paraId="0000007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Highly motivated and able to inspire others</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Good or outstanding ICT classroom practitioner</w:t>
            </w:r>
          </w:p>
        </w:tc>
        <w:tc>
          <w:tcPr/>
          <w:p w:rsidR="00000000" w:rsidDel="00000000" w:rsidP="00000000" w:rsidRDefault="00000000" w:rsidRPr="00000000" w14:paraId="0000007C">
            <w:pPr>
              <w:spacing w:after="0" w:line="240" w:lineRule="auto"/>
              <w:ind w:left="720" w:firstLine="0"/>
              <w:rPr>
                <w:rFonts w:ascii="PT Sans" w:cs="PT Sans" w:eastAsia="PT Sans" w:hAnsi="PT Sans"/>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D">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p>
        </w:tc>
        <w:tc>
          <w:tcPr/>
          <w:p w:rsidR="00000000" w:rsidDel="00000000" w:rsidP="00000000" w:rsidRDefault="00000000" w:rsidRPr="00000000" w14:paraId="0000007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Positive, growth mindset</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Fully aligned to our vision and key drivers</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Ambitious with a dynamic drive to deliver impact</w:t>
            </w:r>
          </w:p>
        </w:tc>
        <w:tc>
          <w:tcPr/>
          <w:p w:rsidR="00000000" w:rsidDel="00000000" w:rsidP="00000000" w:rsidRDefault="00000000" w:rsidRPr="00000000" w14:paraId="00000082">
            <w:pPr>
              <w:spacing w:after="0" w:line="240" w:lineRule="auto"/>
              <w:ind w:left="720" w:firstLine="0"/>
              <w:rPr>
                <w:rFonts w:ascii="PT Sans" w:cs="PT Sans" w:eastAsia="PT Sans" w:hAnsi="PT Sans"/>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8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85">
            <w:pPr>
              <w:numPr>
                <w:ilvl w:val="0"/>
                <w:numId w:val="3"/>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86">
            <w:pPr>
              <w:numPr>
                <w:ilvl w:val="1"/>
                <w:numId w:val="3"/>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87">
            <w:pPr>
              <w:numPr>
                <w:ilvl w:val="1"/>
                <w:numId w:val="3"/>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88">
            <w:pPr>
              <w:numPr>
                <w:ilvl w:val="1"/>
                <w:numId w:val="3"/>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89">
            <w:pPr>
              <w:numPr>
                <w:ilvl w:val="1"/>
                <w:numId w:val="3"/>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8A">
            <w:pPr>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8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8C">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8D">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8E">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8F">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90">
            <w:pPr>
              <w:spacing w:after="0" w:line="240" w:lineRule="auto"/>
              <w:ind w:left="720" w:firstLine="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91">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sz w:val="20"/>
          <w:szCs w:val="20"/>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684495"/>
              <wp:effectExtent b="0" l="0" r="0" t="0"/>
              <wp:wrapTopAndBottom distB="114300" distT="114300"/>
              <wp:docPr id="1" name=""/>
              <a:graphic>
                <a:graphicData uri="http://schemas.microsoft.com/office/word/2010/wordprocessingGroup">
                  <wpg:wgp>
                    <wpg:cNvGrpSpPr/>
                    <wpg:grpSpPr>
                      <a:xfrm>
                        <a:off x="1600294" y="3446555"/>
                        <a:ext cx="7491413" cy="684495"/>
                        <a:chOff x="1600294" y="3446555"/>
                        <a:chExt cx="7491413" cy="666891"/>
                      </a:xfrm>
                    </wpg:grpSpPr>
                    <wpg:grpSp>
                      <wpg:cNvGrpSpPr/>
                      <wpg:grpSpPr>
                        <a:xfrm>
                          <a:off x="1600294" y="3446555"/>
                          <a:ext cx="7491413" cy="666891"/>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Kingswood-New-Logo-rev.png" id="8" name="Shape 8"/>
                        <pic:cNvPicPr preferRelativeResize="0"/>
                      </pic:nvPicPr>
                      <pic:blipFill>
                        <a:blip r:embed="rId1">
                          <a:alphaModFix/>
                        </a:blip>
                        <a:stretch>
                          <a:fillRect/>
                        </a:stretch>
                      </pic:blipFill>
                      <pic:spPr>
                        <a:xfrm>
                          <a:off x="1665350" y="3497266"/>
                          <a:ext cx="1983176" cy="5655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68449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84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