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p>
          <w:p>
            <w:pPr>
              <w:rPr>
                <w:rFonts w:ascii="Arial" w:hAnsi="Arial" w:cs="Arial"/>
              </w:rPr>
            </w:pPr>
          </w:p>
        </w:tc>
        <w:tc>
          <w:tcPr>
            <w:tcW w:w="2775" w:type="dxa"/>
            <w:gridSpan w:val="14"/>
          </w:tcPr>
          <w:p>
            <w:pPr>
              <w:rPr>
                <w:rFonts w:ascii="Arial" w:hAnsi="Arial" w:cs="Arial"/>
                <w:b/>
              </w:rPr>
            </w:pPr>
            <w:r>
              <w:rPr>
                <w:rFonts w:ascii="Arial" w:hAnsi="Arial" w:cs="Arial"/>
                <w:b/>
              </w:rPr>
              <w:t>Closing Date: Thursday 20 June 2019 (noon)</w:t>
            </w:r>
          </w:p>
          <w:p>
            <w:pPr>
              <w:rPr>
                <w:rFonts w:ascii="Arial" w:hAnsi="Arial" w:cs="Arial"/>
                <w:b/>
              </w:rPr>
            </w:pPr>
          </w:p>
        </w:tc>
      </w:tr>
      <w:tr>
        <w:tc>
          <w:tcPr>
            <w:tcW w:w="8145" w:type="dxa"/>
            <w:gridSpan w:val="30"/>
          </w:tcPr>
          <w:p>
            <w:pPr>
              <w:rPr>
                <w:rFonts w:ascii="Arial" w:hAnsi="Arial" w:cs="Arial"/>
                <w:b/>
                <w:sz w:val="24"/>
                <w:szCs w:val="24"/>
              </w:rPr>
            </w:pPr>
            <w:r>
              <w:rPr>
                <w:rFonts w:ascii="Arial" w:hAnsi="Arial" w:cs="Arial"/>
                <w:b/>
                <w:sz w:val="24"/>
                <w:szCs w:val="24"/>
              </w:rPr>
              <w:t xml:space="preserve">Application for Appointment as: Teacher of Art </w:t>
            </w:r>
          </w:p>
          <w:p>
            <w:pPr>
              <w:rPr>
                <w:rFonts w:ascii="Arial" w:hAnsi="Arial" w:cs="Arial"/>
                <w:b/>
                <w:sz w:val="24"/>
                <w:szCs w:val="24"/>
              </w:rPr>
            </w:pPr>
            <w:r>
              <w:rPr>
                <w:rFonts w:ascii="Arial" w:hAnsi="Arial" w:cs="Arial"/>
                <w:b/>
                <w:sz w:val="24"/>
                <w:szCs w:val="24"/>
              </w:rPr>
              <w:t>Grade: MPR/UPR</w:t>
            </w:r>
          </w:p>
          <w:p>
            <w:pPr>
              <w:rPr>
                <w:rFonts w:ascii="Arial" w:hAnsi="Arial" w:cs="Arial"/>
              </w:rPr>
            </w:pPr>
            <w:r>
              <w:rPr>
                <w:rFonts w:ascii="Arial" w:hAnsi="Arial" w:cs="Arial"/>
                <w:b/>
                <w:sz w:val="24"/>
                <w:szCs w:val="24"/>
              </w:rPr>
              <w:t xml:space="preserve">Academy/College: Elliott Hudson College </w:t>
            </w: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sz w:val="20"/>
                <w:szCs w:val="20"/>
              </w:rPr>
            </w:pPr>
          </w:p>
        </w:tc>
      </w:tr>
      <w:tr>
        <w:tc>
          <w:tcPr>
            <w:tcW w:w="10920" w:type="dxa"/>
            <w:gridSpan w:val="44"/>
          </w:tcPr>
          <w:p>
            <w:pPr>
              <w:jc w:val="center"/>
              <w:rPr>
                <w:rFonts w:ascii="Arial" w:hAnsi="Arial" w:cs="Arial"/>
                <w:sz w:val="20"/>
                <w:szCs w:val="20"/>
              </w:rPr>
            </w:pPr>
            <w:r>
              <w:rPr>
                <w:rFonts w:ascii="Arial" w:hAnsi="Arial" w:cs="Arial"/>
                <w:b/>
              </w:rPr>
              <w:t>Your referees will be contacted if you are selected for Interview</w:t>
            </w: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jc w:val="both"/>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for which you are applying.  </w:t>
            </w:r>
          </w:p>
          <w:p>
            <w:pPr>
              <w:rPr>
                <w:rFonts w:ascii="Arial" w:hAnsi="Arial" w:cs="Arial"/>
              </w:rPr>
            </w:pPr>
            <w:r>
              <w:rPr>
                <w:rStyle w:val="Emphasis"/>
                <w:rFonts w:ascii="Arial" w:hAnsi="Arial" w:cs="Arial"/>
                <w:b/>
                <w:color w:val="000000"/>
                <w:lang w:val="en-US"/>
              </w:rPr>
              <w:t>Supporting statements should be no longer than 2 sides of standard font on A4 paper and should address the following:</w:t>
            </w:r>
            <w:r>
              <w:rPr>
                <w:rFonts w:ascii="Arial" w:hAnsi="Arial" w:cs="Arial"/>
                <w:lang w:val="en-US"/>
              </w:rPr>
              <w:t xml:space="preserve"> </w:t>
            </w:r>
            <w:r>
              <w:rPr>
                <w:rFonts w:ascii="Arial" w:eastAsia="Calibri" w:hAnsi="Arial" w:cs="Times New Roman"/>
                <w:b/>
                <w:lang w:val="en-US"/>
              </w:rPr>
              <w:t xml:space="preserve">1. Why I want to teach </w:t>
            </w:r>
            <w:r>
              <w:rPr>
                <w:rFonts w:ascii="Arial" w:eastAsia="Calibri" w:hAnsi="Arial" w:cs="Times New Roman"/>
                <w:b/>
                <w:lang w:val="en-US"/>
              </w:rPr>
              <w:t>Art</w:t>
            </w:r>
            <w:r>
              <w:rPr>
                <w:rFonts w:ascii="Arial" w:eastAsia="Calibri" w:hAnsi="Arial" w:cs="Times New Roman"/>
                <w:b/>
                <w:lang w:val="en-US"/>
              </w:rPr>
              <w:t xml:space="preserve"> at Elliott Hudson College and 2. Why culture matters in a Sixth Form College.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rPr>
            </w:pPr>
          </w:p>
          <w:p>
            <w:pPr>
              <w:jc w:val="both"/>
              <w:rPr>
                <w:rFonts w:ascii="Arial" w:hAnsi="Arial" w:cs="Arial"/>
                <w:b/>
                <w:sz w:val="24"/>
                <w:szCs w:val="24"/>
              </w:rPr>
            </w:pPr>
            <w:r>
              <w:rPr>
                <w:rFonts w:ascii="Arial" w:hAnsi="Arial" w:cs="Arial"/>
                <w:b/>
                <w:sz w:val="24"/>
                <w:szCs w:val="24"/>
              </w:rPr>
              <w:t>Rehabilitation of Offenders Act 1974</w:t>
            </w:r>
          </w:p>
          <w:p>
            <w:pPr>
              <w:jc w:val="both"/>
              <w:rPr>
                <w:rFonts w:ascii="Arial" w:hAnsi="Arial" w:cs="Arial"/>
                <w:b/>
                <w:sz w:val="24"/>
                <w:szCs w:val="24"/>
              </w:rPr>
            </w:pPr>
          </w:p>
          <w:p>
            <w:pPr>
              <w:rPr>
                <w:rFonts w:ascii="Arial" w:hAnsi="Arial" w:cs="Arial"/>
                <w:sz w:val="20"/>
                <w:szCs w:val="20"/>
              </w:rPr>
            </w:pPr>
            <w:r>
              <w:rPr>
                <w:rFonts w:ascii="Arial" w:hAnsi="Arial" w:cs="Arial"/>
                <w:sz w:val="20"/>
                <w:szCs w:val="20"/>
              </w:rPr>
              <w:t xml:space="preserve">All posts involving direct contact with children are exempt from the Rehabilitation of Offenders Act 1974. However,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 or at Unlock: </w:t>
            </w:r>
            <w:hyperlink r:id="rId10" w:history="1">
              <w:r>
                <w:rPr>
                  <w:rStyle w:val="Hyperlink"/>
                  <w:rFonts w:ascii="Arial" w:hAnsi="Arial" w:cs="Arial"/>
                  <w:sz w:val="20"/>
                  <w:szCs w:val="20"/>
                </w:rPr>
                <w:t>What-will-be-filtered-by-the-DBS.pdf</w:t>
              </w:r>
            </w:hyperlink>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pPr>
              <w:rPr>
                <w:rFonts w:ascii="Arial" w:hAnsi="Arial" w:cs="Arial"/>
              </w:rPr>
            </w:pPr>
          </w:p>
          <w:p>
            <w:pPr>
              <w:jc w:val="both"/>
              <w:rPr>
                <w:rFonts w:ascii="Arial" w:hAnsi="Arial" w:cs="Arial"/>
              </w:rPr>
            </w:pPr>
          </w:p>
        </w:tc>
      </w:tr>
      <w:tr>
        <w:tc>
          <w:tcPr>
            <w:tcW w:w="10920" w:type="dxa"/>
            <w:gridSpan w:val="44"/>
          </w:tcPr>
          <w:p>
            <w:pPr>
              <w:rPr>
                <w:rFonts w:ascii="Arial" w:hAnsi="Arial" w:cs="Arial"/>
                <w:b/>
              </w:rPr>
            </w:pPr>
            <w:r>
              <w:rPr>
                <w:rFonts w:ascii="Arial" w:hAnsi="Arial" w:cs="Arial"/>
                <w:b/>
              </w:rPr>
              <w:t xml:space="preserve">Data Protection Act 1998 and General Data Protection Regulations (GDPR) </w:t>
            </w:r>
          </w:p>
          <w:p>
            <w:pPr>
              <w:rPr>
                <w:rFonts w:ascii="Arial" w:hAnsi="Arial" w:cs="Arial"/>
                <w:b/>
              </w:rPr>
            </w:pP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Single Equality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jc w:val="both"/>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and the Data Protection Act 1998 AND GDPR</w:t>
            </w:r>
          </w:p>
          <w:p>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rPr>
            </w:pPr>
          </w:p>
          <w:p>
            <w:pPr>
              <w:jc w:val="both"/>
              <w:rPr>
                <w:rFonts w:ascii="Arial" w:hAnsi="Arial" w:cs="Arial"/>
              </w:rPr>
            </w:pPr>
            <w:r>
              <w:rPr>
                <w:rFonts w:ascii="Arial" w:hAnsi="Arial" w:cs="Arial"/>
              </w:rPr>
              <w:t>.</w:t>
            </w:r>
          </w:p>
          <w:p>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pPr>
              <w:jc w:val="both"/>
              <w:rPr>
                <w:rFonts w:ascii="Arial" w:hAnsi="Arial" w:cs="Arial"/>
              </w:rPr>
            </w:pPr>
          </w:p>
          <w:p>
            <w:pPr>
              <w:pStyle w:val="ListParagraph"/>
              <w:numPr>
                <w:ilvl w:val="0"/>
                <w:numId w:val="7"/>
              </w:numPr>
              <w:spacing w:after="200" w:line="276" w:lineRule="auto"/>
              <w:jc w:val="both"/>
              <w:rPr>
                <w:rFonts w:ascii="Arial" w:hAnsi="Arial" w:cs="Arial"/>
              </w:rPr>
            </w:pPr>
            <w:r>
              <w:rPr>
                <w:rFonts w:ascii="Arial" w:hAnsi="Arial" w:cs="Arial"/>
              </w:rPr>
              <w:t>References which are satisfactory to the Trust</w:t>
            </w:r>
          </w:p>
          <w:p>
            <w:pPr>
              <w:pStyle w:val="ListParagraph"/>
              <w:numPr>
                <w:ilvl w:val="0"/>
                <w:numId w:val="7"/>
              </w:numPr>
              <w:spacing w:after="200" w:line="276" w:lineRule="auto"/>
              <w:jc w:val="both"/>
              <w:rPr>
                <w:rFonts w:ascii="Arial" w:hAnsi="Arial" w:cs="Arial"/>
              </w:rPr>
            </w:pPr>
            <w:r>
              <w:rPr>
                <w:rFonts w:ascii="Arial" w:hAnsi="Arial" w:cs="Arial"/>
              </w:rPr>
              <w:t>A satisfactory DBS certificate and check of the Barred List</w:t>
            </w:r>
          </w:p>
          <w:p>
            <w:pPr>
              <w:pStyle w:val="ListParagraph"/>
              <w:numPr>
                <w:ilvl w:val="0"/>
                <w:numId w:val="7"/>
              </w:numPr>
              <w:spacing w:after="200" w:line="276" w:lineRule="auto"/>
              <w:jc w:val="both"/>
              <w:rPr>
                <w:rFonts w:ascii="Arial" w:hAnsi="Arial" w:cs="Arial"/>
              </w:rPr>
            </w:pPr>
            <w:r>
              <w:rPr>
                <w:rFonts w:ascii="Arial" w:hAnsi="Arial" w:cs="Arial"/>
              </w:rPr>
              <w:t xml:space="preserve">The entries on the form proving to be complete and accurate </w:t>
            </w:r>
          </w:p>
          <w:p>
            <w:pPr>
              <w:pStyle w:val="ListParagraph"/>
              <w:numPr>
                <w:ilvl w:val="0"/>
                <w:numId w:val="7"/>
              </w:numPr>
              <w:spacing w:after="200" w:line="276" w:lineRule="auto"/>
              <w:jc w:val="both"/>
              <w:rPr>
                <w:rFonts w:ascii="Arial" w:hAnsi="Arial" w:cs="Arial"/>
              </w:rPr>
            </w:pPr>
            <w:r>
              <w:rPr>
                <w:rFonts w:ascii="Arial" w:hAnsi="Arial" w:cs="Arial"/>
              </w:rPr>
              <w:t xml:space="preserve">A satisfactory medical report (where appropriate)  </w:t>
            </w:r>
          </w:p>
          <w:p>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pPr>
              <w:pStyle w:val="ListParagraph"/>
              <w:jc w:val="both"/>
              <w:rPr>
                <w:rFonts w:ascii="Arial" w:hAnsi="Arial" w:cs="Arial"/>
              </w:rPr>
            </w:pPr>
          </w:p>
          <w:p>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This page is blank to ensure that the equality monitoring documentation remains detached from the application form.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EQUALITY MONITORING </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txbxContent>
                      </v:textbox>
                    </v:shape>
                  </w:pict>
                </mc:Fallback>
              </mc:AlternateContent>
            </w:r>
          </w:p>
          <w:p>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p>
            <w:pPr>
              <w:rPr>
                <w:rFonts w:ascii="Arial" w:hAnsi="Arial" w:cs="Arial"/>
                <w:b/>
                <w:sz w:val="24"/>
                <w:szCs w:val="24"/>
              </w:rPr>
            </w:pPr>
            <w:r>
              <w:rPr>
                <w:rFonts w:ascii="Arial" w:hAnsi="Arial" w:cs="Arial"/>
                <w:b/>
                <w:sz w:val="24"/>
                <w:szCs w:val="24"/>
              </w:rPr>
              <w:t>Other</w:t>
            </w: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txbxContent>
                      </v:textbox>
                    </v:shape>
                  </w:pict>
                </mc:Fallback>
              </mc:AlternateConten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w:t>
            </w:r>
            <w:r>
              <w:rPr>
                <w:rFonts w:ascii="Arial" w:hAnsi="Arial" w:cs="Arial"/>
                <w:sz w:val="24"/>
                <w:szCs w:val="24"/>
              </w:rPr>
              <w:t>Other entries comments</w:t>
            </w:r>
            <w:r>
              <w:rPr>
                <w:rFonts w:ascii="Arial" w:hAnsi="Arial" w:cs="Arial"/>
                <w:b/>
                <w:sz w:val="24"/>
                <w:szCs w:val="24"/>
              </w:rPr>
              <w:t xml:space="preserve">: </w:t>
            </w:r>
          </w:p>
          <w:p>
            <w:pPr>
              <w:rPr>
                <w:rFonts w:ascii="Arial" w:hAnsi="Arial" w:cs="Arial"/>
                <w:sz w:val="24"/>
                <w:szCs w:val="24"/>
              </w:rPr>
            </w:pPr>
            <w:r>
              <w:rPr>
                <w:rFonts w:ascii="Arial" w:hAnsi="Arial" w:cs="Arial"/>
                <w:sz w:val="24"/>
                <w:szCs w:val="24"/>
              </w:rPr>
              <w:t>Heterosexual – Someone who is attracted, emotionally and or physically, to persons of the opposite sex.</w: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8</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CDEC-39F4-4A8A-8ABC-4E955B1B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BA8BE21B.dotm</Template>
  <TotalTime>2</TotalTime>
  <Pages>1</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Linda Dunn</cp:lastModifiedBy>
  <cp:revision>5</cp:revision>
  <cp:lastPrinted>2019-06-05T08:56:00Z</cp:lastPrinted>
  <dcterms:created xsi:type="dcterms:W3CDTF">2019-06-05T08:38:00Z</dcterms:created>
  <dcterms:modified xsi:type="dcterms:W3CDTF">2019-06-05T08:57:00Z</dcterms:modified>
</cp:coreProperties>
</file>