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DCB" w:rsidRPr="009641C5" w:rsidRDefault="009641C5" w:rsidP="009641C5">
      <w:pPr>
        <w:rPr>
          <w:rFonts w:ascii="Source Sans Pro" w:eastAsia="Source Sans Pro" w:hAnsi="Source Sans Pro" w:cs="Source Sans Pro"/>
        </w:rPr>
      </w:pPr>
      <w:r>
        <w:rPr>
          <w:rFonts w:ascii="Source Sans Pro" w:eastAsia="Source Sans Pro" w:hAnsi="Source Sans Pro" w:cs="Source Sans Pro"/>
          <w:b/>
          <w:color w:val="212121"/>
          <w:sz w:val="34"/>
          <w:szCs w:val="34"/>
        </w:rPr>
        <w:t>Our Approach</w:t>
      </w:r>
    </w:p>
    <w:p w:rsidR="00026DCB" w:rsidRDefault="009641C5">
      <w:pPr>
        <w:spacing w:before="180" w:after="180"/>
        <w:rPr>
          <w:rFonts w:ascii="Arial" w:eastAsia="Arial" w:hAnsi="Arial" w:cs="Arial"/>
          <w:color w:val="212121"/>
        </w:rPr>
      </w:pPr>
      <w:bookmarkStart w:id="0" w:name="_GoBack"/>
      <w:bookmarkEnd w:id="0"/>
      <w:r>
        <w:rPr>
          <w:rFonts w:ascii="Arial" w:eastAsia="Arial" w:hAnsi="Arial" w:cs="Arial"/>
          <w:color w:val="212121"/>
        </w:rPr>
        <w:t>We are incredibly proud of Newham PRUs’ status as Nurture UK accredited schools. The principles of Nurture underpin everything we do.</w:t>
      </w:r>
    </w:p>
    <w:p w:rsidR="00026DCB" w:rsidRDefault="009641C5">
      <w:pPr>
        <w:spacing w:before="180" w:after="180"/>
        <w:rPr>
          <w:rFonts w:ascii="Arial" w:eastAsia="Arial" w:hAnsi="Arial" w:cs="Arial"/>
          <w:color w:val="212121"/>
        </w:rPr>
      </w:pPr>
      <w:r>
        <w:rPr>
          <w:rFonts w:ascii="Arial" w:eastAsia="Arial" w:hAnsi="Arial" w:cs="Arial"/>
          <w:color w:val="212121"/>
        </w:rPr>
        <w:t xml:space="preserve">Our nurturing approach recognises that positive relationships are central to learning, wellbeing and </w:t>
      </w:r>
      <w:proofErr w:type="gramStart"/>
      <w:r>
        <w:rPr>
          <w:rFonts w:ascii="Arial" w:eastAsia="Arial" w:hAnsi="Arial" w:cs="Arial"/>
          <w:color w:val="212121"/>
        </w:rPr>
        <w:t>safeguarding .</w:t>
      </w:r>
      <w:proofErr w:type="gramEnd"/>
      <w:r>
        <w:rPr>
          <w:rFonts w:ascii="Arial" w:eastAsia="Arial" w:hAnsi="Arial" w:cs="Arial"/>
          <w:color w:val="212121"/>
        </w:rPr>
        <w:t xml:space="preserve"> A key aspect of this is an understanding of attachment theory, trauma informed practice and how early experiences can have a significant impact on a child’s development. Nurturing approaches recognise that all school staff have a role to play in establishing the positive relationships that are required to promote healthy social and emotional development, and that these relationships should be reliable, predictable and consistent where possible. </w:t>
      </w:r>
    </w:p>
    <w:p w:rsidR="00026DCB" w:rsidRDefault="009641C5">
      <w:pPr>
        <w:spacing w:before="180" w:after="180"/>
        <w:rPr>
          <w:rFonts w:ascii="Arial" w:eastAsia="Arial" w:hAnsi="Arial" w:cs="Arial"/>
          <w:color w:val="212121"/>
        </w:rPr>
      </w:pPr>
      <w:r>
        <w:rPr>
          <w:rFonts w:ascii="Arial" w:eastAsia="Arial" w:hAnsi="Arial" w:cs="Arial"/>
          <w:color w:val="212121"/>
        </w:rPr>
        <w:t xml:space="preserve">Learning is delivered through a range of small group provisions, as well as more bespoke 1:1 arrangements. Our Nurture Groups are small therapeutic interventions that facilitate the development of the key social and emotional needs of each pupil so that they can begin to access education. </w:t>
      </w:r>
    </w:p>
    <w:p w:rsidR="00026DCB" w:rsidRDefault="009641C5">
      <w:pPr>
        <w:spacing w:before="180" w:after="180"/>
        <w:rPr>
          <w:rFonts w:ascii="Arial" w:eastAsia="Arial" w:hAnsi="Arial" w:cs="Arial"/>
          <w:color w:val="212121"/>
        </w:rPr>
      </w:pPr>
      <w:r>
        <w:rPr>
          <w:rFonts w:ascii="Arial" w:eastAsia="Arial" w:hAnsi="Arial" w:cs="Arial"/>
          <w:color w:val="212121"/>
        </w:rPr>
        <w:t xml:space="preserve">Newham PRUs provide a safe and supportive learning environment which enables students to access a broad, relevant curriculum that supports exceptional progress and aspiration for our pupils, with many of our KS4 students achieving outstanding results in GCSE and other vocational qualifications. </w:t>
      </w:r>
    </w:p>
    <w:p w:rsidR="00026DCB" w:rsidRDefault="009641C5">
      <w:pPr>
        <w:spacing w:before="180" w:after="180"/>
        <w:rPr>
          <w:rFonts w:ascii="Arial" w:eastAsia="Arial" w:hAnsi="Arial" w:cs="Arial"/>
          <w:color w:val="212121"/>
        </w:rPr>
      </w:pPr>
      <w:r>
        <w:rPr>
          <w:rFonts w:ascii="Arial" w:eastAsia="Arial" w:hAnsi="Arial" w:cs="Arial"/>
          <w:color w:val="212121"/>
        </w:rPr>
        <w:t xml:space="preserve">Across Newham PRUs students are encouraged to reflect, understand their personal challenges and when they are ready, to take the reins and apply their acquired skills, knowledge and understanding to create their own successful futures. </w:t>
      </w:r>
    </w:p>
    <w:p w:rsidR="00026DCB" w:rsidRDefault="009641C5">
      <w:pPr>
        <w:spacing w:before="180" w:after="180"/>
        <w:rPr>
          <w:rFonts w:ascii="Arial" w:eastAsia="Arial" w:hAnsi="Arial" w:cs="Arial"/>
          <w:color w:val="212121"/>
        </w:rPr>
      </w:pPr>
      <w:r>
        <w:rPr>
          <w:rFonts w:ascii="Arial" w:eastAsia="Arial" w:hAnsi="Arial" w:cs="Arial"/>
          <w:color w:val="212121"/>
        </w:rPr>
        <w:t xml:space="preserve">We believe that working closely with parents and carers is essential in supporting our students and building our community, and encourage students, families and support networks to engage fully with school life and support us in this journey. We celebrate our rich and diverse school community which we have grown over the years with our students feeling proud to be part of. </w:t>
      </w:r>
    </w:p>
    <w:p w:rsidR="00026DCB" w:rsidRDefault="009641C5">
      <w:pPr>
        <w:spacing w:before="180" w:after="180"/>
        <w:rPr>
          <w:rFonts w:ascii="Arial" w:eastAsia="Arial" w:hAnsi="Arial" w:cs="Arial"/>
          <w:color w:val="212121"/>
        </w:rPr>
      </w:pPr>
      <w:r>
        <w:rPr>
          <w:rFonts w:ascii="Arial" w:eastAsia="Arial" w:hAnsi="Arial" w:cs="Arial"/>
          <w:color w:val="212121"/>
        </w:rPr>
        <w:t xml:space="preserve">As Nurture Schools, we have a key focus on our environment and emphasis on the balance between care and challenge which incorporates </w:t>
      </w:r>
      <w:proofErr w:type="spellStart"/>
      <w:r>
        <w:rPr>
          <w:rFonts w:ascii="Arial" w:eastAsia="Arial" w:hAnsi="Arial" w:cs="Arial"/>
          <w:color w:val="212121"/>
        </w:rPr>
        <w:t>attunement</w:t>
      </w:r>
      <w:proofErr w:type="spellEnd"/>
      <w:r>
        <w:rPr>
          <w:rFonts w:ascii="Arial" w:eastAsia="Arial" w:hAnsi="Arial" w:cs="Arial"/>
          <w:color w:val="212121"/>
        </w:rPr>
        <w:t>, warmth and connection alongside structure, high expectations and a focus on achievement and attainment.</w:t>
      </w:r>
    </w:p>
    <w:p w:rsidR="00026DCB" w:rsidRDefault="009641C5">
      <w:pPr>
        <w:spacing w:before="180" w:after="180"/>
        <w:rPr>
          <w:rFonts w:ascii="Arial" w:eastAsia="Arial" w:hAnsi="Arial" w:cs="Arial"/>
          <w:color w:val="212121"/>
        </w:rPr>
      </w:pPr>
      <w:r>
        <w:rPr>
          <w:rFonts w:ascii="Arial" w:eastAsia="Arial" w:hAnsi="Arial" w:cs="Arial"/>
          <w:color w:val="212121"/>
        </w:rPr>
        <w:t xml:space="preserve">The nurturing approach offers a range of opportunities for children and young people to engage with any missed early nurturing experiences, giving them the social and emotional skills to do well at school and with peers, develop their resilience and their capacity to deal more confidently with the trials and tribulations of life, for life. </w:t>
      </w:r>
    </w:p>
    <w:p w:rsidR="00026DCB" w:rsidRDefault="009641C5">
      <w:pPr>
        <w:spacing w:before="180" w:after="180"/>
        <w:rPr>
          <w:rFonts w:ascii="Arial" w:eastAsia="Arial" w:hAnsi="Arial" w:cs="Arial"/>
          <w:color w:val="212121"/>
        </w:rPr>
      </w:pPr>
      <w:r>
        <w:rPr>
          <w:rFonts w:ascii="Arial" w:eastAsia="Arial" w:hAnsi="Arial" w:cs="Arial"/>
          <w:color w:val="212121"/>
        </w:rPr>
        <w:t xml:space="preserve">Newham </w:t>
      </w:r>
      <w:proofErr w:type="gramStart"/>
      <w:r>
        <w:rPr>
          <w:rFonts w:ascii="Arial" w:eastAsia="Arial" w:hAnsi="Arial" w:cs="Arial"/>
          <w:color w:val="212121"/>
        </w:rPr>
        <w:t>PRUs :</w:t>
      </w:r>
      <w:proofErr w:type="gramEnd"/>
    </w:p>
    <w:p w:rsidR="00026DCB" w:rsidRDefault="009641C5">
      <w:pPr>
        <w:numPr>
          <w:ilvl w:val="0"/>
          <w:numId w:val="1"/>
        </w:numPr>
        <w:spacing w:before="180"/>
        <w:rPr>
          <w:rFonts w:ascii="Arial" w:eastAsia="Arial" w:hAnsi="Arial" w:cs="Arial"/>
          <w:color w:val="212121"/>
        </w:rPr>
      </w:pPr>
      <w:r>
        <w:rPr>
          <w:rFonts w:ascii="Arial" w:eastAsia="Arial" w:hAnsi="Arial" w:cs="Arial"/>
          <w:color w:val="212121"/>
        </w:rPr>
        <w:t>Provide an environment where developing secure attachments and trusting relationships are paramount, providing nurture from caring adults</w:t>
      </w:r>
    </w:p>
    <w:p w:rsidR="00026DCB" w:rsidRDefault="009641C5">
      <w:pPr>
        <w:numPr>
          <w:ilvl w:val="0"/>
          <w:numId w:val="1"/>
        </w:numPr>
        <w:rPr>
          <w:rFonts w:ascii="Arial" w:eastAsia="Arial" w:hAnsi="Arial" w:cs="Arial"/>
          <w:color w:val="212121"/>
        </w:rPr>
      </w:pPr>
      <w:r>
        <w:rPr>
          <w:rFonts w:ascii="Arial" w:eastAsia="Arial" w:hAnsi="Arial" w:cs="Arial"/>
          <w:color w:val="212121"/>
        </w:rPr>
        <w:t>Provide opportunities to experience missed basic early learning experiences normally gained in childhood.</w:t>
      </w:r>
    </w:p>
    <w:p w:rsidR="00026DCB" w:rsidRDefault="009641C5">
      <w:pPr>
        <w:numPr>
          <w:ilvl w:val="0"/>
          <w:numId w:val="1"/>
        </w:numPr>
        <w:rPr>
          <w:rFonts w:ascii="Arial" w:eastAsia="Arial" w:hAnsi="Arial" w:cs="Arial"/>
          <w:color w:val="212121"/>
        </w:rPr>
      </w:pPr>
      <w:r>
        <w:rPr>
          <w:rFonts w:ascii="Arial" w:eastAsia="Arial" w:hAnsi="Arial" w:cs="Arial"/>
          <w:color w:val="212121"/>
        </w:rPr>
        <w:t>Support pupils' successful reintegration or transition into Key Stage 4</w:t>
      </w:r>
      <w:proofErr w:type="gramStart"/>
      <w:r>
        <w:rPr>
          <w:rFonts w:ascii="Arial" w:eastAsia="Arial" w:hAnsi="Arial" w:cs="Arial"/>
          <w:color w:val="212121"/>
        </w:rPr>
        <w:t>,  mainstream</w:t>
      </w:r>
      <w:proofErr w:type="gramEnd"/>
      <w:r>
        <w:rPr>
          <w:rFonts w:ascii="Arial" w:eastAsia="Arial" w:hAnsi="Arial" w:cs="Arial"/>
          <w:color w:val="212121"/>
        </w:rPr>
        <w:t xml:space="preserve"> schools or alternative therapeutic pathways.</w:t>
      </w:r>
    </w:p>
    <w:p w:rsidR="00026DCB" w:rsidRDefault="009641C5">
      <w:pPr>
        <w:numPr>
          <w:ilvl w:val="0"/>
          <w:numId w:val="1"/>
        </w:numPr>
        <w:rPr>
          <w:rFonts w:ascii="Arial" w:eastAsia="Arial" w:hAnsi="Arial" w:cs="Arial"/>
          <w:color w:val="212121"/>
        </w:rPr>
      </w:pPr>
      <w:r>
        <w:rPr>
          <w:rFonts w:ascii="Arial" w:eastAsia="Arial" w:hAnsi="Arial" w:cs="Arial"/>
          <w:color w:val="212121"/>
        </w:rPr>
        <w:t>Support the development of specific skills to enable them to make the appropriate choices and begin to take responsibility for their own actions.</w:t>
      </w:r>
    </w:p>
    <w:p w:rsidR="00026DCB" w:rsidRDefault="009641C5">
      <w:pPr>
        <w:numPr>
          <w:ilvl w:val="0"/>
          <w:numId w:val="1"/>
        </w:numPr>
        <w:rPr>
          <w:rFonts w:ascii="Arial" w:eastAsia="Arial" w:hAnsi="Arial" w:cs="Arial"/>
          <w:color w:val="212121"/>
        </w:rPr>
      </w:pPr>
      <w:r>
        <w:rPr>
          <w:rFonts w:ascii="Arial" w:eastAsia="Arial" w:hAnsi="Arial" w:cs="Arial"/>
          <w:color w:val="212121"/>
        </w:rPr>
        <w:t xml:space="preserve">Monitor and track progress through ongoing assessment (Boxall Profile) </w:t>
      </w:r>
    </w:p>
    <w:p w:rsidR="00026DCB" w:rsidRDefault="009641C5">
      <w:pPr>
        <w:numPr>
          <w:ilvl w:val="0"/>
          <w:numId w:val="1"/>
        </w:numPr>
        <w:rPr>
          <w:rFonts w:ascii="Arial" w:eastAsia="Arial" w:hAnsi="Arial" w:cs="Arial"/>
          <w:color w:val="212121"/>
        </w:rPr>
      </w:pPr>
      <w:r>
        <w:rPr>
          <w:rFonts w:ascii="Arial" w:eastAsia="Arial" w:hAnsi="Arial" w:cs="Arial"/>
          <w:color w:val="212121"/>
        </w:rPr>
        <w:t xml:space="preserve">Support pupils showing signs of emotional stress and </w:t>
      </w:r>
      <w:proofErr w:type="spellStart"/>
      <w:r>
        <w:rPr>
          <w:rFonts w:ascii="Arial" w:eastAsia="Arial" w:hAnsi="Arial" w:cs="Arial"/>
          <w:color w:val="212121"/>
        </w:rPr>
        <w:t>self management</w:t>
      </w:r>
      <w:proofErr w:type="spellEnd"/>
      <w:r>
        <w:rPr>
          <w:rFonts w:ascii="Arial" w:eastAsia="Arial" w:hAnsi="Arial" w:cs="Arial"/>
          <w:color w:val="212121"/>
        </w:rPr>
        <w:t xml:space="preserve"> difficulties; with the aim of teaching them to access the curriculum and participate fully in school life.</w:t>
      </w:r>
    </w:p>
    <w:p w:rsidR="009641C5" w:rsidRDefault="009641C5" w:rsidP="009641C5">
      <w:pPr>
        <w:numPr>
          <w:ilvl w:val="0"/>
          <w:numId w:val="1"/>
        </w:numPr>
        <w:spacing w:after="180"/>
        <w:rPr>
          <w:rFonts w:ascii="Arial" w:eastAsia="Arial" w:hAnsi="Arial" w:cs="Arial"/>
          <w:color w:val="212121"/>
        </w:rPr>
      </w:pPr>
      <w:r>
        <w:rPr>
          <w:rFonts w:ascii="Arial" w:eastAsia="Arial" w:hAnsi="Arial" w:cs="Arial"/>
          <w:color w:val="212121"/>
        </w:rPr>
        <w:t>Work in partnership with teachers, support staff, partner agencies and parents/carers to enable consistency between home and school.</w:t>
      </w:r>
    </w:p>
    <w:p w:rsidR="009641C5" w:rsidRDefault="009641C5">
      <w:pPr>
        <w:rPr>
          <w:rFonts w:ascii="Arial" w:eastAsia="Arial" w:hAnsi="Arial" w:cs="Arial"/>
          <w:color w:val="212121"/>
        </w:rPr>
      </w:pPr>
      <w:r>
        <w:rPr>
          <w:rFonts w:ascii="Arial" w:eastAsia="Arial" w:hAnsi="Arial" w:cs="Arial"/>
          <w:color w:val="212121"/>
        </w:rPr>
        <w:br w:type="page"/>
      </w:r>
    </w:p>
    <w:p w:rsidR="00026DCB" w:rsidRPr="009641C5" w:rsidRDefault="009641C5" w:rsidP="009641C5">
      <w:pPr>
        <w:spacing w:after="180"/>
        <w:rPr>
          <w:rFonts w:ascii="Arial" w:eastAsia="Arial" w:hAnsi="Arial" w:cs="Arial"/>
          <w:color w:val="212121"/>
        </w:rPr>
      </w:pPr>
      <w:r w:rsidRPr="009641C5">
        <w:rPr>
          <w:rFonts w:ascii="Source Sans Pro" w:eastAsia="Source Sans Pro" w:hAnsi="Source Sans Pro" w:cs="Source Sans Pro"/>
          <w:b/>
          <w:color w:val="000000"/>
          <w:sz w:val="34"/>
          <w:szCs w:val="34"/>
        </w:rPr>
        <w:lastRenderedPageBreak/>
        <w:t>Our Sites and Provisions</w:t>
      </w:r>
    </w:p>
    <w:p w:rsidR="00026DCB" w:rsidRDefault="00026DCB">
      <w:pPr>
        <w:rPr>
          <w:rFonts w:ascii="Arial" w:eastAsia="Arial" w:hAnsi="Arial" w:cs="Arial"/>
          <w:color w:val="000000"/>
          <w:sz w:val="22"/>
          <w:szCs w:val="22"/>
        </w:rPr>
      </w:pPr>
    </w:p>
    <w:p w:rsidR="00026DCB" w:rsidRDefault="00026DCB">
      <w:pPr>
        <w:rPr>
          <w:rFonts w:ascii="Arial" w:eastAsia="Arial" w:hAnsi="Arial" w:cs="Arial"/>
          <w:b/>
          <w:color w:val="000000"/>
          <w:sz w:val="22"/>
          <w:szCs w:val="22"/>
        </w:rPr>
      </w:pPr>
    </w:p>
    <w:p w:rsidR="00026DCB" w:rsidRDefault="009641C5">
      <w:pPr>
        <w:rPr>
          <w:rFonts w:ascii="Arial" w:eastAsia="Arial" w:hAnsi="Arial" w:cs="Arial"/>
          <w:b/>
          <w:color w:val="000000"/>
          <w:sz w:val="22"/>
          <w:szCs w:val="22"/>
        </w:rPr>
      </w:pPr>
      <w:r>
        <w:rPr>
          <w:rFonts w:ascii="Arial" w:eastAsia="Arial" w:hAnsi="Arial" w:cs="Arial"/>
          <w:b/>
          <w:color w:val="000000"/>
          <w:sz w:val="22"/>
          <w:szCs w:val="22"/>
        </w:rPr>
        <w:t>Tunmarsh School</w:t>
      </w:r>
    </w:p>
    <w:p w:rsidR="00026DCB" w:rsidRDefault="00026DCB">
      <w:pPr>
        <w:rPr>
          <w:rFonts w:ascii="Arial" w:eastAsia="Arial" w:hAnsi="Arial" w:cs="Arial"/>
          <w:color w:val="000000"/>
          <w:sz w:val="22"/>
          <w:szCs w:val="22"/>
        </w:rPr>
      </w:pP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Onsite Small Group provision for KS3 and KS4 PEX / Fair Access and Directed Placements</w:t>
      </w: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Onsite Small Group provision for pupils unable to attend mainstream school due to medical / mental health reasons</w:t>
      </w: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Remote Online Learning provision for pupils unable to access onsite group learning</w:t>
      </w: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 xml:space="preserve">APPLE - Outdoor Nurture + provision for KS3 and Yr10 pupils based at </w:t>
      </w:r>
      <w:proofErr w:type="spellStart"/>
      <w:r>
        <w:rPr>
          <w:rFonts w:ascii="Arial" w:eastAsia="Arial" w:hAnsi="Arial" w:cs="Arial"/>
          <w:color w:val="000000"/>
          <w:sz w:val="22"/>
          <w:szCs w:val="22"/>
        </w:rPr>
        <w:t>Lambourne</w:t>
      </w:r>
      <w:proofErr w:type="spellEnd"/>
      <w:r>
        <w:rPr>
          <w:rFonts w:ascii="Arial" w:eastAsia="Arial" w:hAnsi="Arial" w:cs="Arial"/>
          <w:color w:val="000000"/>
          <w:sz w:val="22"/>
          <w:szCs w:val="22"/>
        </w:rPr>
        <w:t xml:space="preserve"> End in Essex. </w:t>
      </w: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Ocelot - Small onsite Nurture + provision for KS4 pupils</w:t>
      </w:r>
    </w:p>
    <w:p w:rsidR="00026DCB" w:rsidRDefault="00026DCB">
      <w:pPr>
        <w:rPr>
          <w:rFonts w:ascii="Arial" w:eastAsia="Arial" w:hAnsi="Arial" w:cs="Arial"/>
          <w:color w:val="000000"/>
          <w:sz w:val="22"/>
          <w:szCs w:val="22"/>
        </w:rPr>
      </w:pPr>
    </w:p>
    <w:p w:rsidR="00026DCB" w:rsidRDefault="00026DCB">
      <w:pPr>
        <w:rPr>
          <w:rFonts w:ascii="Arial" w:eastAsia="Arial" w:hAnsi="Arial" w:cs="Arial"/>
          <w:color w:val="000000"/>
          <w:sz w:val="22"/>
          <w:szCs w:val="22"/>
        </w:rPr>
      </w:pPr>
    </w:p>
    <w:p w:rsidR="00026DCB" w:rsidRDefault="00026DCB">
      <w:pPr>
        <w:rPr>
          <w:rFonts w:ascii="Arial" w:eastAsia="Arial" w:hAnsi="Arial" w:cs="Arial"/>
          <w:b/>
          <w:color w:val="000000"/>
          <w:sz w:val="22"/>
          <w:szCs w:val="22"/>
        </w:rPr>
      </w:pPr>
    </w:p>
    <w:p w:rsidR="00026DCB" w:rsidRDefault="009641C5">
      <w:pPr>
        <w:rPr>
          <w:rFonts w:ascii="Arial" w:eastAsia="Arial" w:hAnsi="Arial" w:cs="Arial"/>
          <w:b/>
          <w:color w:val="000000"/>
          <w:sz w:val="22"/>
          <w:szCs w:val="22"/>
        </w:rPr>
      </w:pPr>
      <w:r>
        <w:rPr>
          <w:rFonts w:ascii="Arial" w:eastAsia="Arial" w:hAnsi="Arial" w:cs="Arial"/>
          <w:b/>
          <w:color w:val="000000"/>
          <w:sz w:val="22"/>
          <w:szCs w:val="22"/>
        </w:rPr>
        <w:t>New Directions PRU</w:t>
      </w:r>
    </w:p>
    <w:p w:rsidR="00026DCB" w:rsidRDefault="00026DCB">
      <w:pPr>
        <w:rPr>
          <w:rFonts w:ascii="Arial" w:eastAsia="Arial" w:hAnsi="Arial" w:cs="Arial"/>
          <w:color w:val="000000"/>
          <w:sz w:val="22"/>
          <w:szCs w:val="22"/>
        </w:rPr>
      </w:pP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Onsite Small Group provision for KS4 PEX / Fair Access and Directed Placements.</w:t>
      </w:r>
    </w:p>
    <w:p w:rsidR="00026DCB" w:rsidRDefault="00026DCB">
      <w:pPr>
        <w:rPr>
          <w:rFonts w:ascii="Arial" w:eastAsia="Arial" w:hAnsi="Arial" w:cs="Arial"/>
          <w:color w:val="000000"/>
          <w:sz w:val="22"/>
          <w:szCs w:val="22"/>
        </w:rPr>
      </w:pPr>
    </w:p>
    <w:p w:rsidR="00026DCB" w:rsidRDefault="00026DCB">
      <w:pPr>
        <w:rPr>
          <w:rFonts w:ascii="Arial" w:eastAsia="Arial" w:hAnsi="Arial" w:cs="Arial"/>
          <w:color w:val="000000"/>
          <w:sz w:val="22"/>
          <w:szCs w:val="22"/>
        </w:rPr>
      </w:pPr>
    </w:p>
    <w:p w:rsidR="00026DCB" w:rsidRDefault="00026DCB">
      <w:pPr>
        <w:rPr>
          <w:rFonts w:ascii="Arial" w:eastAsia="Arial" w:hAnsi="Arial" w:cs="Arial"/>
          <w:b/>
          <w:color w:val="000000"/>
          <w:sz w:val="22"/>
          <w:szCs w:val="22"/>
        </w:rPr>
      </w:pPr>
    </w:p>
    <w:p w:rsidR="00026DCB" w:rsidRDefault="009641C5">
      <w:pPr>
        <w:rPr>
          <w:rFonts w:ascii="Arial" w:eastAsia="Arial" w:hAnsi="Arial" w:cs="Arial"/>
          <w:b/>
          <w:color w:val="000000"/>
          <w:sz w:val="22"/>
          <w:szCs w:val="22"/>
        </w:rPr>
      </w:pPr>
      <w:r>
        <w:rPr>
          <w:rFonts w:ascii="Arial" w:eastAsia="Arial" w:hAnsi="Arial" w:cs="Arial"/>
          <w:b/>
          <w:color w:val="000000"/>
          <w:sz w:val="22"/>
          <w:szCs w:val="22"/>
        </w:rPr>
        <w:t>Phoenix</w:t>
      </w:r>
    </w:p>
    <w:p w:rsidR="00026DCB" w:rsidRDefault="00026DCB">
      <w:pPr>
        <w:rPr>
          <w:rFonts w:ascii="Arial" w:eastAsia="Arial" w:hAnsi="Arial" w:cs="Arial"/>
          <w:color w:val="000000"/>
          <w:sz w:val="22"/>
          <w:szCs w:val="22"/>
        </w:rPr>
      </w:pPr>
    </w:p>
    <w:p w:rsidR="00026DCB" w:rsidRDefault="009641C5">
      <w:pPr>
        <w:numPr>
          <w:ilvl w:val="0"/>
          <w:numId w:val="4"/>
        </w:numPr>
        <w:rPr>
          <w:rFonts w:ascii="Arial" w:eastAsia="Arial" w:hAnsi="Arial" w:cs="Arial"/>
          <w:color w:val="000000"/>
          <w:sz w:val="22"/>
          <w:szCs w:val="22"/>
        </w:rPr>
      </w:pPr>
      <w:r>
        <w:rPr>
          <w:rFonts w:ascii="Arial" w:eastAsia="Arial" w:hAnsi="Arial" w:cs="Arial"/>
          <w:color w:val="000000"/>
          <w:sz w:val="22"/>
          <w:szCs w:val="22"/>
        </w:rPr>
        <w:t xml:space="preserve">Onsite Small Group provision for KS1 &amp; KS2 PEX / Fair Access and respite. </w:t>
      </w:r>
    </w:p>
    <w:p w:rsidR="00026DCB" w:rsidRDefault="00026DCB">
      <w:pPr>
        <w:rPr>
          <w:rFonts w:ascii="Arial" w:eastAsia="Arial" w:hAnsi="Arial" w:cs="Arial"/>
          <w:color w:val="000000"/>
          <w:sz w:val="22"/>
          <w:szCs w:val="22"/>
        </w:rPr>
      </w:pPr>
    </w:p>
    <w:p w:rsidR="00026DCB" w:rsidRDefault="00026DCB">
      <w:pPr>
        <w:rPr>
          <w:rFonts w:ascii="Arial" w:eastAsia="Arial" w:hAnsi="Arial" w:cs="Arial"/>
          <w:color w:val="000000"/>
          <w:sz w:val="22"/>
          <w:szCs w:val="22"/>
        </w:rPr>
      </w:pPr>
    </w:p>
    <w:p w:rsidR="00026DCB" w:rsidRDefault="00026DCB">
      <w:pPr>
        <w:rPr>
          <w:rFonts w:ascii="Arial" w:eastAsia="Arial" w:hAnsi="Arial" w:cs="Arial"/>
          <w:color w:val="000000"/>
          <w:sz w:val="22"/>
          <w:szCs w:val="22"/>
        </w:rPr>
      </w:pPr>
    </w:p>
    <w:p w:rsidR="00026DCB" w:rsidRDefault="009641C5">
      <w:pPr>
        <w:rPr>
          <w:rFonts w:ascii="Arial" w:eastAsia="Arial" w:hAnsi="Arial" w:cs="Arial"/>
          <w:color w:val="000000"/>
          <w:sz w:val="22"/>
          <w:szCs w:val="22"/>
        </w:rPr>
      </w:pPr>
      <w:r>
        <w:rPr>
          <w:rFonts w:ascii="Arial" w:eastAsia="Arial" w:hAnsi="Arial" w:cs="Arial"/>
          <w:color w:val="000000"/>
          <w:sz w:val="22"/>
          <w:szCs w:val="22"/>
        </w:rPr>
        <w:t xml:space="preserve">Further information is available through our </w:t>
      </w:r>
      <w:hyperlink r:id="rId7">
        <w:r>
          <w:rPr>
            <w:rFonts w:ascii="Arial" w:eastAsia="Arial" w:hAnsi="Arial" w:cs="Arial"/>
            <w:color w:val="1155CC"/>
            <w:sz w:val="22"/>
            <w:szCs w:val="22"/>
            <w:u w:val="single"/>
          </w:rPr>
          <w:t>Newham PRU</w:t>
        </w:r>
      </w:hyperlink>
      <w:r>
        <w:rPr>
          <w:color w:val="000000"/>
        </w:rPr>
        <w:t xml:space="preserve"> </w:t>
      </w:r>
      <w:r>
        <w:rPr>
          <w:rFonts w:ascii="Arial" w:eastAsia="Arial" w:hAnsi="Arial" w:cs="Arial"/>
          <w:color w:val="000000"/>
          <w:sz w:val="22"/>
          <w:szCs w:val="22"/>
        </w:rPr>
        <w:t>website (</w:t>
      </w:r>
      <w:r>
        <w:rPr>
          <w:rFonts w:ascii="Arial" w:eastAsia="Arial" w:hAnsi="Arial" w:cs="Arial"/>
          <w:color w:val="5F6368"/>
          <w:sz w:val="22"/>
          <w:szCs w:val="22"/>
        </w:rPr>
        <w:t xml:space="preserve">newhamprus.org.uk) </w:t>
      </w:r>
    </w:p>
    <w:p w:rsidR="00026DCB" w:rsidRDefault="00026DCB">
      <w:pPr>
        <w:rPr>
          <w:rFonts w:ascii="Arial" w:eastAsia="Arial" w:hAnsi="Arial" w:cs="Arial"/>
          <w:color w:val="000000"/>
          <w:sz w:val="22"/>
          <w:szCs w:val="22"/>
        </w:rPr>
      </w:pPr>
    </w:p>
    <w:p w:rsidR="00026DCB" w:rsidRDefault="00026DCB">
      <w:pPr>
        <w:rPr>
          <w:rFonts w:ascii="Arial" w:eastAsia="Arial" w:hAnsi="Arial" w:cs="Arial"/>
          <w:color w:val="000000"/>
          <w:sz w:val="22"/>
          <w:szCs w:val="22"/>
        </w:rPr>
      </w:pPr>
    </w:p>
    <w:p w:rsidR="00026DCB" w:rsidRDefault="00026DCB">
      <w:pPr>
        <w:ind w:right="142"/>
        <w:rPr>
          <w:rFonts w:ascii="Source Sans Pro" w:eastAsia="Source Sans Pro" w:hAnsi="Source Sans Pro" w:cs="Source Sans Pro"/>
        </w:rPr>
      </w:pPr>
    </w:p>
    <w:sectPr w:rsidR="00026DCB">
      <w:headerReference w:type="default" r:id="rId8"/>
      <w:footerReference w:type="default" r:id="rId9"/>
      <w:headerReference w:type="first" r:id="rId10"/>
      <w:footerReference w:type="first" r:id="rId11"/>
      <w:pgSz w:w="11906" w:h="16838"/>
      <w:pgMar w:top="1275" w:right="990" w:bottom="426" w:left="1134" w:header="289"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34" w:rsidRDefault="009641C5">
      <w:r>
        <w:separator/>
      </w:r>
    </w:p>
  </w:endnote>
  <w:endnote w:type="continuationSeparator" w:id="0">
    <w:p w:rsidR="00FD1734" w:rsidRDefault="0096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9641C5">
    <w:pPr>
      <w:widowControl w:val="0"/>
      <w:ind w:left="-360"/>
      <w:jc w:val="center"/>
      <w:rPr>
        <w:rFonts w:ascii="Arial Narrow" w:eastAsia="Arial Narrow" w:hAnsi="Arial Narrow" w:cs="Arial Narrow"/>
        <w:color w:val="FFFFFF"/>
        <w:sz w:val="18"/>
        <w:szCs w:val="18"/>
        <w:shd w:val="clear" w:color="auto" w:fill="481373"/>
      </w:rPr>
    </w:pPr>
    <w:r>
      <w:rPr>
        <w:rFonts w:ascii="Arial Narrow" w:eastAsia="Arial Narrow" w:hAnsi="Arial Narrow" w:cs="Arial Narrow"/>
        <w:color w:val="FFFFFF"/>
        <w:sz w:val="18"/>
        <w:szCs w:val="18"/>
        <w:shd w:val="clear" w:color="auto" w:fill="481373"/>
      </w:rPr>
      <w:t xml:space="preserve"> Newham PRUs, Tunmarsh School. Tunmarsh Lane, Plaistow, London E13 9NB     Tel</w:t>
    </w:r>
    <w:proofErr w:type="gramStart"/>
    <w:r>
      <w:rPr>
        <w:rFonts w:ascii="Arial Narrow" w:eastAsia="Arial Narrow" w:hAnsi="Arial Narrow" w:cs="Arial Narrow"/>
        <w:color w:val="FFFFFF"/>
        <w:sz w:val="18"/>
        <w:szCs w:val="18"/>
        <w:shd w:val="clear" w:color="auto" w:fill="481373"/>
      </w:rPr>
      <w:t>:020</w:t>
    </w:r>
    <w:proofErr w:type="gramEnd"/>
    <w:r>
      <w:rPr>
        <w:rFonts w:ascii="Arial Narrow" w:eastAsia="Arial Narrow" w:hAnsi="Arial Narrow" w:cs="Arial Narrow"/>
        <w:color w:val="FFFFFF"/>
        <w:sz w:val="18"/>
        <w:szCs w:val="18"/>
        <w:shd w:val="clear" w:color="auto" w:fill="481373"/>
      </w:rPr>
      <w:t xml:space="preserve"> 7504 0531  </w:t>
    </w:r>
    <w:hyperlink r:id="rId1">
      <w:r>
        <w:rPr>
          <w:rFonts w:ascii="Arial Narrow" w:eastAsia="Arial Narrow" w:hAnsi="Arial Narrow" w:cs="Arial Narrow"/>
          <w:color w:val="FFFFFF"/>
          <w:sz w:val="18"/>
          <w:szCs w:val="18"/>
          <w:u w:val="single"/>
          <w:shd w:val="clear" w:color="auto" w:fill="481373"/>
        </w:rPr>
        <w:t>https://www.newhamprus.org.uk</w:t>
      </w:r>
    </w:hyperlink>
    <w:r>
      <w:rPr>
        <w:rFonts w:ascii="Arial Narrow" w:eastAsia="Arial Narrow" w:hAnsi="Arial Narrow" w:cs="Arial Narrow"/>
        <w:color w:val="FFFFFF"/>
        <w:sz w:val="18"/>
        <w:szCs w:val="18"/>
        <w:u w:val="single"/>
        <w:shd w:val="clear" w:color="auto" w:fill="481373"/>
      </w:rPr>
      <w:t xml:space="preserve">       </w:t>
    </w:r>
    <w:r>
      <w:rPr>
        <w:rFonts w:ascii="Arial Narrow" w:eastAsia="Arial Narrow" w:hAnsi="Arial Narrow" w:cs="Arial Narrow"/>
        <w:color w:val="FFFFFF"/>
        <w:sz w:val="18"/>
        <w:szCs w:val="18"/>
        <w:shd w:val="clear" w:color="auto" w:fill="481373"/>
      </w:rPr>
      <w:t xml:space="preserve"> </w:t>
    </w:r>
  </w:p>
  <w:p w:rsidR="00026DCB" w:rsidRDefault="00026DCB">
    <w:pPr>
      <w:pBdr>
        <w:top w:val="nil"/>
        <w:left w:val="nil"/>
        <w:bottom w:val="nil"/>
        <w:right w:val="nil"/>
        <w:between w:val="nil"/>
      </w:pBdr>
      <w:tabs>
        <w:tab w:val="center" w:pos="4513"/>
        <w:tab w:val="right" w:pos="9026"/>
      </w:tabs>
      <w:ind w:left="-360"/>
      <w:jc w:val="center"/>
      <w:rPr>
        <w:rFonts w:ascii="Arial" w:eastAsia="Arial" w:hAnsi="Arial" w:cs="Arial"/>
        <w:b/>
        <w:color w:val="FFFFFF"/>
        <w:sz w:val="10"/>
        <w:szCs w:val="10"/>
        <w:shd w:val="clear" w:color="auto" w:fill="481373"/>
      </w:rPr>
    </w:pPr>
  </w:p>
  <w:p w:rsidR="00026DCB" w:rsidRDefault="009641C5">
    <w:pPr>
      <w:pBdr>
        <w:top w:val="nil"/>
        <w:left w:val="nil"/>
        <w:bottom w:val="nil"/>
        <w:right w:val="nil"/>
        <w:between w:val="nil"/>
      </w:pBdr>
      <w:tabs>
        <w:tab w:val="center" w:pos="4513"/>
        <w:tab w:val="right" w:pos="9026"/>
      </w:tabs>
      <w:ind w:left="-360"/>
      <w:jc w:val="right"/>
      <w:rPr>
        <w:rFonts w:ascii="Arial" w:eastAsia="Arial" w:hAnsi="Arial" w:cs="Arial"/>
        <w:b/>
        <w:color w:val="000000"/>
        <w:sz w:val="16"/>
        <w:szCs w:val="16"/>
        <w:highlight w:val="white"/>
      </w:rPr>
    </w:pPr>
    <w:r>
      <w:rPr>
        <w:rFonts w:ascii="Arial" w:eastAsia="Arial" w:hAnsi="Arial" w:cs="Arial"/>
        <w:b/>
        <w:color w:val="000000"/>
        <w:sz w:val="16"/>
        <w:szCs w:val="16"/>
        <w:highlight w:val="white"/>
      </w:rPr>
      <w:fldChar w:fldCharType="begin"/>
    </w:r>
    <w:r>
      <w:rPr>
        <w:rFonts w:ascii="Arial" w:eastAsia="Arial" w:hAnsi="Arial" w:cs="Arial"/>
        <w:b/>
        <w:color w:val="000000"/>
        <w:sz w:val="16"/>
        <w:szCs w:val="16"/>
        <w:highlight w:val="white"/>
      </w:rPr>
      <w:instrText>PAGE</w:instrText>
    </w:r>
    <w:r>
      <w:rPr>
        <w:rFonts w:ascii="Arial" w:eastAsia="Arial" w:hAnsi="Arial" w:cs="Arial"/>
        <w:b/>
        <w:color w:val="000000"/>
        <w:sz w:val="16"/>
        <w:szCs w:val="16"/>
        <w:highlight w:val="white"/>
      </w:rPr>
      <w:fldChar w:fldCharType="separate"/>
    </w:r>
    <w:r w:rsidR="00B55462">
      <w:rPr>
        <w:rFonts w:ascii="Arial" w:eastAsia="Arial" w:hAnsi="Arial" w:cs="Arial"/>
        <w:b/>
        <w:noProof/>
        <w:color w:val="000000"/>
        <w:sz w:val="16"/>
        <w:szCs w:val="16"/>
        <w:highlight w:val="white"/>
      </w:rPr>
      <w:t>2</w:t>
    </w:r>
    <w:r>
      <w:rPr>
        <w:rFonts w:ascii="Arial" w:eastAsia="Arial" w:hAnsi="Arial" w:cs="Arial"/>
        <w:b/>
        <w:color w:val="000000"/>
        <w:sz w:val="16"/>
        <w:szCs w:val="16"/>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9641C5">
    <w:pPr>
      <w:widowControl w:val="0"/>
      <w:rPr>
        <w:rFonts w:ascii="Arial Narrow" w:eastAsia="Arial Narrow" w:hAnsi="Arial Narrow" w:cs="Arial Narrow"/>
        <w:color w:val="FFFFFF"/>
        <w:sz w:val="18"/>
        <w:szCs w:val="18"/>
      </w:rPr>
    </w:pPr>
    <w:r>
      <w:rPr>
        <w:rFonts w:ascii="Arial Narrow" w:eastAsia="Arial Narrow" w:hAnsi="Arial Narrow" w:cs="Arial Narrow"/>
        <w:color w:val="FFFFFF"/>
        <w:sz w:val="18"/>
        <w:szCs w:val="18"/>
      </w:rPr>
      <w:t>Newham PRUs, Tunmarsh School. Tunmarsh Lane, Plaistow, London E13 9NB     Tel</w:t>
    </w:r>
    <w:proofErr w:type="gramStart"/>
    <w:r>
      <w:rPr>
        <w:rFonts w:ascii="Arial Narrow" w:eastAsia="Arial Narrow" w:hAnsi="Arial Narrow" w:cs="Arial Narrow"/>
        <w:color w:val="FFFFFF"/>
        <w:sz w:val="18"/>
        <w:szCs w:val="18"/>
      </w:rPr>
      <w:t>:020</w:t>
    </w:r>
    <w:proofErr w:type="gramEnd"/>
    <w:r>
      <w:rPr>
        <w:rFonts w:ascii="Arial Narrow" w:eastAsia="Arial Narrow" w:hAnsi="Arial Narrow" w:cs="Arial Narrow"/>
        <w:color w:val="FFFFFF"/>
        <w:sz w:val="18"/>
        <w:szCs w:val="18"/>
      </w:rPr>
      <w:t xml:space="preserve"> 7504 0531                                                </w:t>
    </w:r>
    <w:r>
      <w:rPr>
        <w:rFonts w:ascii="Arial Narrow" w:eastAsia="Arial Narrow" w:hAnsi="Arial Narrow" w:cs="Arial Narrow"/>
        <w:color w:val="FFFFFF"/>
        <w:sz w:val="18"/>
        <w:szCs w:val="18"/>
        <w:u w:val="single"/>
      </w:rPr>
      <w:t>https://www.newhamprus.org.uk</w:t>
    </w:r>
    <w:r>
      <w:rPr>
        <w:rFonts w:ascii="Arial Narrow" w:eastAsia="Arial Narrow" w:hAnsi="Arial Narrow" w:cs="Arial Narrow"/>
        <w:color w:val="FFFFFF"/>
        <w:sz w:val="18"/>
        <w:szCs w:val="18"/>
      </w:rPr>
      <w:t xml:space="preserve"> </w:t>
    </w:r>
  </w:p>
  <w:p w:rsidR="00026DCB" w:rsidRDefault="009641C5">
    <w:pPr>
      <w:pBdr>
        <w:top w:val="nil"/>
        <w:left w:val="nil"/>
        <w:bottom w:val="nil"/>
        <w:right w:val="nil"/>
        <w:between w:val="nil"/>
      </w:pBdr>
      <w:tabs>
        <w:tab w:val="center" w:pos="4513"/>
        <w:tab w:val="right" w:pos="9026"/>
      </w:tabs>
      <w:rPr>
        <w:rFonts w:ascii="Arial" w:eastAsia="Arial" w:hAnsi="Arial" w:cs="Arial"/>
        <w:sz w:val="14"/>
        <w:szCs w:val="14"/>
      </w:rPr>
    </w:pPr>
    <w:r>
      <w:rPr>
        <w:rFonts w:ascii="Arial" w:eastAsia="Arial" w:hAnsi="Arial" w:cs="Arial"/>
        <w:sz w:val="14"/>
        <w:szCs w:val="14"/>
      </w:rPr>
      <w:t>Newham PRUs is committed to safeguarding and promoting the welfare of children and young people and expects all staff and volunteers to share this commitment. All successful candidates will be required to undergo safer recruitment checks, including an enhanced DBS disclosure and Barred List Checks.</w:t>
    </w:r>
  </w:p>
  <w:p w:rsidR="00026DCB" w:rsidRDefault="00026DCB">
    <w:pPr>
      <w:pBdr>
        <w:top w:val="nil"/>
        <w:left w:val="nil"/>
        <w:bottom w:val="nil"/>
        <w:right w:val="nil"/>
        <w:between w:val="nil"/>
      </w:pBdr>
      <w:tabs>
        <w:tab w:val="center" w:pos="4513"/>
        <w:tab w:val="right" w:pos="9026"/>
      </w:tabs>
    </w:pPr>
  </w:p>
  <w:p w:rsidR="00026DCB" w:rsidRDefault="009641C5">
    <w:pPr>
      <w:pBdr>
        <w:top w:val="nil"/>
        <w:left w:val="nil"/>
        <w:bottom w:val="nil"/>
        <w:right w:val="nil"/>
        <w:between w:val="nil"/>
      </w:pBdr>
      <w:tabs>
        <w:tab w:val="center" w:pos="4513"/>
        <w:tab w:val="right" w:pos="9026"/>
      </w:tabs>
      <w:jc w:val="right"/>
    </w:pPr>
    <w:r>
      <w:fldChar w:fldCharType="begin"/>
    </w:r>
    <w:r>
      <w:instrText>PAGE</w:instrText>
    </w:r>
    <w:r>
      <w:fldChar w:fldCharType="separate"/>
    </w:r>
    <w:r w:rsidR="00B554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34" w:rsidRDefault="009641C5">
      <w:r>
        <w:separator/>
      </w:r>
    </w:p>
  </w:footnote>
  <w:footnote w:type="continuationSeparator" w:id="0">
    <w:p w:rsidR="00FD1734" w:rsidRDefault="0096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B55462">
    <w:pPr>
      <w:jc w:val="right"/>
      <w:rPr>
        <w:rFonts w:ascii="Trebuchet MS" w:eastAsia="Trebuchet MS" w:hAnsi="Trebuchet MS" w:cs="Trebuchet MS"/>
        <w:b/>
        <w:sz w:val="70"/>
        <w:szCs w:val="70"/>
      </w:rPr>
    </w:pPr>
    <w:r>
      <w:rPr>
        <w:rFonts w:ascii="Trebuchet MS" w:eastAsia="Trebuchet MS" w:hAnsi="Trebuchet MS" w:cs="Trebuchet MS"/>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510.3pt;height:504.3pt;z-index:-251658240;mso-position-horizontal:center;mso-position-horizontal-relative:margin;mso-position-vertical:center;mso-position-vertical-relative:margin">
          <v:imagedata r:id="rId1" o:title="image6" gain="19661f" blacklevel="22938f"/>
          <w10:wrap anchorx="margin" anchory="margin"/>
        </v:shape>
      </w:pict>
    </w:r>
    <w:r w:rsidR="009641C5">
      <w:rPr>
        <w:rFonts w:ascii="Trebuchet MS" w:eastAsia="Trebuchet MS" w:hAnsi="Trebuchet MS" w:cs="Trebuchet MS"/>
        <w:b/>
        <w:color w:val="000000"/>
        <w:sz w:val="28"/>
        <w:szCs w:val="28"/>
      </w:rPr>
      <w:t xml:space="preserve"> </w:t>
    </w:r>
    <w:r w:rsidR="009641C5">
      <w:rPr>
        <w:rFonts w:ascii="Trebuchet MS" w:eastAsia="Trebuchet MS" w:hAnsi="Trebuchet MS" w:cs="Trebuchet MS"/>
        <w:b/>
        <w:sz w:val="70"/>
        <w:szCs w:val="70"/>
      </w:rPr>
      <w:t>NEWHAM PRUs</w:t>
    </w:r>
    <w:r w:rsidR="009641C5">
      <w:rPr>
        <w:noProof/>
      </w:rPr>
      <w:drawing>
        <wp:anchor distT="0" distB="0" distL="114300" distR="114300" simplePos="0" relativeHeight="251656192" behindDoc="0" locked="0" layoutInCell="1" hidden="0" allowOverlap="1">
          <wp:simplePos x="0" y="0"/>
          <wp:positionH relativeFrom="column">
            <wp:posOffset>5848350</wp:posOffset>
          </wp:positionH>
          <wp:positionV relativeFrom="paragraph">
            <wp:posOffset>-3809</wp:posOffset>
          </wp:positionV>
          <wp:extent cx="561023" cy="561023"/>
          <wp:effectExtent l="0" t="0" r="0" b="0"/>
          <wp:wrapSquare wrapText="bothSides" distT="0" distB="0" distL="114300" distR="114300"/>
          <wp:docPr id="4" name="image1.png" descr="C:\Users\admin\Downloads\Newham-PRU.png"/>
          <wp:cNvGraphicFramePr/>
          <a:graphic xmlns:a="http://schemas.openxmlformats.org/drawingml/2006/main">
            <a:graphicData uri="http://schemas.openxmlformats.org/drawingml/2006/picture">
              <pic:pic xmlns:pic="http://schemas.openxmlformats.org/drawingml/2006/picture">
                <pic:nvPicPr>
                  <pic:cNvPr id="0" name="image1.png" descr="C:\Users\admin\Downloads\Newham-PRU.png"/>
                  <pic:cNvPicPr preferRelativeResize="0"/>
                </pic:nvPicPr>
                <pic:blipFill>
                  <a:blip r:embed="rId2"/>
                  <a:srcRect/>
                  <a:stretch>
                    <a:fillRect/>
                  </a:stretch>
                </pic:blipFill>
                <pic:spPr>
                  <a:xfrm>
                    <a:off x="0" y="0"/>
                    <a:ext cx="561023" cy="561023"/>
                  </a:xfrm>
                  <a:prstGeom prst="rect">
                    <a:avLst/>
                  </a:prstGeom>
                  <a:ln/>
                </pic:spPr>
              </pic:pic>
            </a:graphicData>
          </a:graphic>
        </wp:anchor>
      </w:drawing>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Tunmarsh School, New Directions PRU, Phoenix</w:t>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b/>
        <w:sz w:val="24"/>
        <w:szCs w:val="24"/>
      </w:rPr>
      <w:t xml:space="preserve">                                                                               Head teacher: Kirsten MacLeod</w:t>
    </w:r>
  </w:p>
  <w:p w:rsidR="00026DCB" w:rsidRDefault="00026DCB">
    <w:pPr>
      <w:rPr>
        <w:rFonts w:ascii="Trebuchet MS" w:eastAsia="Trebuchet MS" w:hAnsi="Trebuchet MS" w:cs="Trebuchet MS"/>
        <w:b/>
        <w:color w:val="000000"/>
        <w:sz w:val="28"/>
        <w:szCs w:val="28"/>
      </w:rPr>
    </w:pPr>
  </w:p>
  <w:p w:rsidR="00026DCB" w:rsidRDefault="009641C5">
    <w:pPr>
      <w:pBdr>
        <w:top w:val="nil"/>
        <w:left w:val="nil"/>
        <w:bottom w:val="nil"/>
        <w:right w:val="nil"/>
        <w:between w:val="nil"/>
      </w:pBdr>
      <w:tabs>
        <w:tab w:val="center" w:pos="4513"/>
        <w:tab w:val="right" w:pos="9026"/>
      </w:tabs>
      <w:ind w:left="-284"/>
      <w:jc w:val="right"/>
      <w:rPr>
        <w:rFonts w:ascii="Trebuchet MS" w:eastAsia="Trebuchet MS" w:hAnsi="Trebuchet MS" w:cs="Trebuchet MS"/>
        <w:b/>
      </w:rPr>
    </w:pPr>
    <w:r>
      <w:rPr>
        <w:rFonts w:ascii="Trebuchet MS" w:eastAsia="Trebuchet MS" w:hAnsi="Trebuchet MS" w:cs="Trebuchet MS"/>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CB" w:rsidRDefault="00B55462">
    <w:pPr>
      <w:pBdr>
        <w:top w:val="nil"/>
        <w:left w:val="nil"/>
        <w:bottom w:val="nil"/>
        <w:right w:val="nil"/>
        <w:between w:val="nil"/>
      </w:pBdr>
      <w:tabs>
        <w:tab w:val="center" w:pos="4513"/>
        <w:tab w:val="right" w:pos="9026"/>
      </w:tabs>
      <w:rPr>
        <w:sz w:val="2"/>
        <w:szCs w:val="2"/>
      </w:rPr>
    </w:pPr>
    <w:r>
      <w:rPr>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10.3pt;height:504.3pt;z-index:-251657216;mso-position-horizontal:center;mso-position-horizontal-relative:margin;mso-position-vertical:center;mso-position-vertical-relative:margin">
          <v:imagedata r:id="rId1" o:title="image6" gain="19661f" blacklevel="22938f"/>
          <w10:wrap anchorx="margin" anchory="margin"/>
        </v:shape>
      </w:pict>
    </w:r>
    <w:r w:rsidR="009641C5">
      <w:rPr>
        <w:noProof/>
      </w:rPr>
      <w:drawing>
        <wp:anchor distT="0" distB="0" distL="114300" distR="114300" simplePos="0" relativeHeight="251657216" behindDoc="0" locked="0" layoutInCell="1" hidden="0" allowOverlap="1">
          <wp:simplePos x="0" y="0"/>
          <wp:positionH relativeFrom="column">
            <wp:posOffset>5825490</wp:posOffset>
          </wp:positionH>
          <wp:positionV relativeFrom="paragraph">
            <wp:posOffset>10160</wp:posOffset>
          </wp:positionV>
          <wp:extent cx="805180" cy="798830"/>
          <wp:effectExtent l="0" t="0" r="0" b="0"/>
          <wp:wrapSquare wrapText="bothSides" distT="0" distB="0" distL="114300" distR="114300"/>
          <wp:docPr id="5" name="image1.png" descr="C:\Users\admin\Downloads\Newham-PRU.png"/>
          <wp:cNvGraphicFramePr/>
          <a:graphic xmlns:a="http://schemas.openxmlformats.org/drawingml/2006/main">
            <a:graphicData uri="http://schemas.openxmlformats.org/drawingml/2006/picture">
              <pic:pic xmlns:pic="http://schemas.openxmlformats.org/drawingml/2006/picture">
                <pic:nvPicPr>
                  <pic:cNvPr id="0" name="image1.png" descr="C:\Users\admin\Downloads\Newham-PRU.png"/>
                  <pic:cNvPicPr preferRelativeResize="0"/>
                </pic:nvPicPr>
                <pic:blipFill>
                  <a:blip r:embed="rId2"/>
                  <a:srcRect/>
                  <a:stretch>
                    <a:fillRect/>
                  </a:stretch>
                </pic:blipFill>
                <pic:spPr>
                  <a:xfrm>
                    <a:off x="0" y="0"/>
                    <a:ext cx="805180" cy="798830"/>
                  </a:xfrm>
                  <a:prstGeom prst="rect">
                    <a:avLst/>
                  </a:prstGeom>
                  <a:ln/>
                </pic:spPr>
              </pic:pic>
            </a:graphicData>
          </a:graphic>
        </wp:anchor>
      </w:drawing>
    </w:r>
  </w:p>
  <w:p w:rsidR="00026DCB" w:rsidRDefault="009641C5">
    <w:pPr>
      <w:pBdr>
        <w:top w:val="nil"/>
        <w:left w:val="nil"/>
        <w:bottom w:val="nil"/>
        <w:right w:val="nil"/>
        <w:between w:val="nil"/>
      </w:pBdr>
      <w:tabs>
        <w:tab w:val="center" w:pos="4513"/>
        <w:tab w:val="right" w:pos="9026"/>
      </w:tabs>
      <w:ind w:left="-851"/>
      <w:rPr>
        <w:rFonts w:ascii="Trebuchet MS" w:eastAsia="Trebuchet MS" w:hAnsi="Trebuchet MS" w:cs="Trebuchet MS"/>
        <w:b/>
        <w:sz w:val="70"/>
        <w:szCs w:val="70"/>
      </w:rPr>
    </w:pPr>
    <w:r>
      <w:rPr>
        <w:rFonts w:ascii="Trebuchet MS" w:eastAsia="Trebuchet MS" w:hAnsi="Trebuchet MS" w:cs="Trebuchet MS"/>
        <w:sz w:val="44"/>
        <w:szCs w:val="44"/>
      </w:rPr>
      <w:t xml:space="preserve">                                      </w:t>
    </w:r>
    <w:r>
      <w:rPr>
        <w:rFonts w:ascii="Trebuchet MS" w:eastAsia="Trebuchet MS" w:hAnsi="Trebuchet MS" w:cs="Trebuchet MS"/>
        <w:b/>
        <w:sz w:val="70"/>
        <w:szCs w:val="70"/>
      </w:rPr>
      <w:t>NEWHAM PRUs</w:t>
    </w:r>
  </w:p>
  <w:p w:rsidR="00026DCB" w:rsidRDefault="009641C5">
    <w:pPr>
      <w:pBdr>
        <w:top w:val="nil"/>
        <w:left w:val="nil"/>
        <w:bottom w:val="nil"/>
        <w:right w:val="nil"/>
        <w:between w:val="nil"/>
      </w:pBd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sz w:val="24"/>
        <w:szCs w:val="24"/>
      </w:rPr>
      <w:t xml:space="preserve">                                                                             </w:t>
    </w:r>
    <w:r>
      <w:rPr>
        <w:rFonts w:ascii="Arial Narrow" w:eastAsia="Arial Narrow" w:hAnsi="Arial Narrow" w:cs="Arial Narrow"/>
        <w:b/>
        <w:sz w:val="24"/>
        <w:szCs w:val="24"/>
      </w:rPr>
      <w:t>Tunmarsh School, New Directions PRU, Phoenix</w:t>
    </w:r>
  </w:p>
  <w:p w:rsidR="00026DCB" w:rsidRDefault="009641C5">
    <w:pPr>
      <w:tabs>
        <w:tab w:val="center" w:pos="4513"/>
        <w:tab w:val="right" w:pos="9026"/>
      </w:tabs>
      <w:rPr>
        <w:rFonts w:ascii="Arial Narrow" w:eastAsia="Arial Narrow" w:hAnsi="Arial Narrow" w:cs="Arial Narrow"/>
        <w:b/>
        <w:sz w:val="24"/>
        <w:szCs w:val="24"/>
      </w:rPr>
    </w:pPr>
    <w:r>
      <w:rPr>
        <w:rFonts w:ascii="Arial Narrow" w:eastAsia="Arial Narrow" w:hAnsi="Arial Narrow" w:cs="Arial Narrow"/>
        <w:b/>
        <w:sz w:val="24"/>
        <w:szCs w:val="24"/>
      </w:rPr>
      <w:t xml:space="preserve">                                                                             Head teacher: Kirsten MacLeod</w:t>
    </w:r>
  </w:p>
  <w:p w:rsidR="00026DCB" w:rsidRDefault="00026DCB">
    <w:pPr>
      <w:pBdr>
        <w:top w:val="nil"/>
        <w:left w:val="nil"/>
        <w:bottom w:val="nil"/>
        <w:right w:val="nil"/>
        <w:between w:val="nil"/>
      </w:pBdr>
      <w:tabs>
        <w:tab w:val="center" w:pos="4513"/>
        <w:tab w:val="right" w:pos="9026"/>
      </w:tabs>
      <w:rPr>
        <w:rFonts w:ascii="Arial Narrow" w:eastAsia="Arial Narrow" w:hAnsi="Arial Narrow" w:cs="Arial Narrow"/>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A4284"/>
    <w:multiLevelType w:val="multilevel"/>
    <w:tmpl w:val="09984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59088B"/>
    <w:multiLevelType w:val="multilevel"/>
    <w:tmpl w:val="BEFEB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695B84"/>
    <w:multiLevelType w:val="multilevel"/>
    <w:tmpl w:val="325A03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23852DD"/>
    <w:multiLevelType w:val="multilevel"/>
    <w:tmpl w:val="38D24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48389D"/>
    <w:multiLevelType w:val="multilevel"/>
    <w:tmpl w:val="1A7EB52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CB"/>
    <w:rsid w:val="00026DCB"/>
    <w:rsid w:val="009641C5"/>
    <w:rsid w:val="00B55462"/>
    <w:rsid w:val="00FD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644E"/>
  <w15:docId w15:val="{8D943CA1-BF76-41EA-B998-69F5094E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1212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hamprus.org.uk/index.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ewhampru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Macleod</dc:creator>
  <cp:lastModifiedBy>Mira Gohil</cp:lastModifiedBy>
  <cp:revision>2</cp:revision>
  <dcterms:created xsi:type="dcterms:W3CDTF">2023-03-22T15:33:00Z</dcterms:created>
  <dcterms:modified xsi:type="dcterms:W3CDTF">2023-03-22T15:33:00Z</dcterms:modified>
</cp:coreProperties>
</file>