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jdgxs" w:colFirst="0" w:colLast="0"/>
    <w:bookmarkStart w:id="1" w:name="_GoBack"/>
    <w:bookmarkEnd w:id="0"/>
    <w:bookmarkEnd w:id="1"/>
    <w:p w:rsidR="009031D9" w:rsidRDefault="00CF0056">
      <w:pPr>
        <w:jc w:val="center"/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3238500</wp:posOffset>
                </wp:positionH>
                <wp:positionV relativeFrom="paragraph">
                  <wp:posOffset>-126999</wp:posOffset>
                </wp:positionV>
                <wp:extent cx="3162300" cy="6096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850" y="3479963"/>
                          <a:ext cx="3162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031D9" w:rsidRDefault="00CF0056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44"/>
                              </w:rPr>
                              <w:t>Humanities Department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3238500</wp:posOffset>
                </wp:positionH>
                <wp:positionV relativeFrom="paragraph">
                  <wp:posOffset>-126999</wp:posOffset>
                </wp:positionV>
                <wp:extent cx="3162300" cy="609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031D9" w:rsidRDefault="009031D9"/>
    <w:p w:rsidR="009031D9" w:rsidRDefault="009031D9"/>
    <w:p w:rsidR="009031D9" w:rsidRDefault="009031D9">
      <w:pPr>
        <w:shd w:val="clear" w:color="auto" w:fill="FFFFFF"/>
        <w:rPr>
          <w:rFonts w:ascii="Calibri" w:eastAsia="Calibri" w:hAnsi="Calibri" w:cs="Calibri"/>
          <w:b/>
          <w:color w:val="212121"/>
          <w:sz w:val="22"/>
          <w:szCs w:val="22"/>
        </w:rPr>
      </w:pPr>
    </w:p>
    <w:p w:rsidR="009031D9" w:rsidRDefault="00CF0056">
      <w:pPr>
        <w:shd w:val="clear" w:color="auto" w:fill="FFFFFF"/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Who are we?</w:t>
      </w:r>
    </w:p>
    <w:p w:rsidR="009031D9" w:rsidRDefault="00CF0056">
      <w:pPr>
        <w:shd w:val="clear" w:color="auto" w:fill="FFFFFF"/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The Humanities department at Buile Hill Visual Arts College is a supportive, aspirational and committed team. At our heart lies excellent teaching and that produces good outcomes for our students. Currently there are four full time specialist teachers, one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 part time member of staff and two members of the Senior Leadership team. Our Humanities </w:t>
      </w:r>
      <w:proofErr w:type="gramStart"/>
      <w:r>
        <w:rPr>
          <w:rFonts w:ascii="Calibri" w:eastAsia="Calibri" w:hAnsi="Calibri" w:cs="Calibri"/>
          <w:color w:val="212121"/>
          <w:sz w:val="22"/>
          <w:szCs w:val="22"/>
        </w:rPr>
        <w:t>staff are</w:t>
      </w:r>
      <w:proofErr w:type="gramEnd"/>
      <w:r>
        <w:rPr>
          <w:rFonts w:ascii="Calibri" w:eastAsia="Calibri" w:hAnsi="Calibri" w:cs="Calibri"/>
          <w:color w:val="212121"/>
          <w:sz w:val="22"/>
          <w:szCs w:val="22"/>
        </w:rPr>
        <w:t xml:space="preserve"> highly talented teachers who have made huge improvements in the quality of teaching and learning in recent years. Within the Humanities department we benefit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 from having our own classrooms each with an interactive whiteboard and the use of a dedicated ICT suite. </w:t>
      </w:r>
    </w:p>
    <w:p w:rsidR="009031D9" w:rsidRDefault="009031D9">
      <w:pPr>
        <w:shd w:val="clear" w:color="auto" w:fill="FFFFFF"/>
        <w:rPr>
          <w:rFonts w:ascii="Calibri" w:eastAsia="Calibri" w:hAnsi="Calibri" w:cs="Calibri"/>
          <w:color w:val="212121"/>
          <w:sz w:val="22"/>
          <w:szCs w:val="22"/>
        </w:rPr>
      </w:pPr>
    </w:p>
    <w:p w:rsidR="009031D9" w:rsidRDefault="00CF0056">
      <w:pPr>
        <w:shd w:val="clear" w:color="auto" w:fill="FFFFFF"/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All students at Key Stage 3 receive four hours of Humanities per week and at Key Stage 4 they receive two hours per week in Year 10 and three in Yea</w:t>
      </w:r>
      <w:r>
        <w:rPr>
          <w:rFonts w:ascii="Calibri" w:eastAsia="Calibri" w:hAnsi="Calibri" w:cs="Calibri"/>
          <w:color w:val="212121"/>
          <w:sz w:val="22"/>
          <w:szCs w:val="22"/>
        </w:rPr>
        <w:t>r 11. Every student at Key Stage 4 is encouraged to opt for a GCSE in History or Geography. KS4 students are currently studying the AQA specification in Geography. There are approximately fifty students studying Geography in Y10 and sixty in Y11.</w:t>
      </w:r>
    </w:p>
    <w:p w:rsidR="009031D9" w:rsidRDefault="009031D9">
      <w:pPr>
        <w:shd w:val="clear" w:color="auto" w:fill="FFFFFF"/>
        <w:rPr>
          <w:rFonts w:ascii="Calibri" w:eastAsia="Calibri" w:hAnsi="Calibri" w:cs="Calibri"/>
          <w:color w:val="212121"/>
          <w:sz w:val="22"/>
          <w:szCs w:val="22"/>
        </w:rPr>
      </w:pPr>
    </w:p>
    <w:p w:rsidR="009031D9" w:rsidRDefault="00CF0056">
      <w:pPr>
        <w:shd w:val="clear" w:color="auto" w:fill="FFFFFF"/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Our pass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ion lies in collaboration, with members of the team planning and marking together, sharing resources and good practice. Humanities </w:t>
      </w:r>
      <w:proofErr w:type="gramStart"/>
      <w:r>
        <w:rPr>
          <w:rFonts w:ascii="Calibri" w:eastAsia="Calibri" w:hAnsi="Calibri" w:cs="Calibri"/>
          <w:color w:val="212121"/>
          <w:sz w:val="22"/>
          <w:szCs w:val="22"/>
        </w:rPr>
        <w:t>staff often work</w:t>
      </w:r>
      <w:proofErr w:type="gramEnd"/>
      <w:r>
        <w:rPr>
          <w:rFonts w:ascii="Calibri" w:eastAsia="Calibri" w:hAnsi="Calibri" w:cs="Calibri"/>
          <w:color w:val="212121"/>
          <w:sz w:val="22"/>
          <w:szCs w:val="22"/>
        </w:rPr>
        <w:t xml:space="preserve"> together as a team because not only can we learn from each other, but we can also improve the outcomes for t</w:t>
      </w:r>
      <w:r>
        <w:rPr>
          <w:rFonts w:ascii="Calibri" w:eastAsia="Calibri" w:hAnsi="Calibri" w:cs="Calibri"/>
          <w:color w:val="212121"/>
          <w:sz w:val="22"/>
          <w:szCs w:val="22"/>
        </w:rPr>
        <w:t>he young people we teach.</w:t>
      </w:r>
    </w:p>
    <w:p w:rsidR="009031D9" w:rsidRDefault="009031D9">
      <w:pPr>
        <w:shd w:val="clear" w:color="auto" w:fill="FFFFFF"/>
        <w:rPr>
          <w:rFonts w:ascii="Calibri" w:eastAsia="Calibri" w:hAnsi="Calibri" w:cs="Calibri"/>
          <w:color w:val="212121"/>
          <w:sz w:val="22"/>
          <w:szCs w:val="22"/>
        </w:rPr>
      </w:pPr>
    </w:p>
    <w:p w:rsidR="009031D9" w:rsidRDefault="00CF0056">
      <w:pPr>
        <w:shd w:val="clear" w:color="auto" w:fill="FFFFFF"/>
        <w:rPr>
          <w:rFonts w:ascii="Calibri" w:eastAsia="Calibri" w:hAnsi="Calibri" w:cs="Calibri"/>
          <w:b/>
          <w:color w:val="212121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color w:val="212121"/>
          <w:sz w:val="22"/>
          <w:szCs w:val="22"/>
        </w:rPr>
        <w:t>Outcomes for children.</w:t>
      </w:r>
      <w:proofErr w:type="gramEnd"/>
    </w:p>
    <w:p w:rsidR="009031D9" w:rsidRDefault="00CF0056">
      <w:pPr>
        <w:shd w:val="clear" w:color="auto" w:fill="FFFFFF"/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 xml:space="preserve">GCSE results have shown some improvement in recent years. In </w:t>
      </w:r>
      <w:proofErr w:type="gramStart"/>
      <w:r>
        <w:rPr>
          <w:rFonts w:ascii="Calibri" w:eastAsia="Calibri" w:hAnsi="Calibri" w:cs="Calibri"/>
          <w:color w:val="212121"/>
          <w:sz w:val="22"/>
          <w:szCs w:val="22"/>
        </w:rPr>
        <w:t>2017  %</w:t>
      </w:r>
      <w:proofErr w:type="gramEnd"/>
      <w:r>
        <w:rPr>
          <w:rFonts w:ascii="Calibri" w:eastAsia="Calibri" w:hAnsi="Calibri" w:cs="Calibri"/>
          <w:color w:val="212121"/>
          <w:sz w:val="22"/>
          <w:szCs w:val="22"/>
        </w:rPr>
        <w:t xml:space="preserve"> of students achieving A*-C, which is still significantly below national average.  Standards within teaching have improved at Key Stage 3 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and 4, with rapid improvements during this academic year in the quality of the marking and feedback given to students. We </w:t>
      </w:r>
      <w:proofErr w:type="spellStart"/>
      <w:r>
        <w:rPr>
          <w:rFonts w:ascii="Calibri" w:eastAsia="Calibri" w:hAnsi="Calibri" w:cs="Calibri"/>
          <w:color w:val="212121"/>
          <w:sz w:val="22"/>
          <w:szCs w:val="22"/>
        </w:rPr>
        <w:t>recognise</w:t>
      </w:r>
      <w:proofErr w:type="spellEnd"/>
      <w:r>
        <w:rPr>
          <w:rFonts w:ascii="Calibri" w:eastAsia="Calibri" w:hAnsi="Calibri" w:cs="Calibri"/>
          <w:color w:val="212121"/>
          <w:sz w:val="22"/>
          <w:szCs w:val="22"/>
        </w:rPr>
        <w:t xml:space="preserve"> that to continue our journey to outstanding we need to ensure the excellent outcomes achieved in previous years are secured 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in the future. The </w:t>
      </w:r>
      <w:proofErr w:type="gramStart"/>
      <w:r>
        <w:rPr>
          <w:rFonts w:ascii="Calibri" w:eastAsia="Calibri" w:hAnsi="Calibri" w:cs="Calibri"/>
          <w:color w:val="212121"/>
          <w:sz w:val="22"/>
          <w:szCs w:val="22"/>
        </w:rPr>
        <w:t>impact</w:t>
      </w:r>
      <w:proofErr w:type="gramEnd"/>
      <w:r>
        <w:rPr>
          <w:rFonts w:ascii="Calibri" w:eastAsia="Calibri" w:hAnsi="Calibri" w:cs="Calibri"/>
          <w:color w:val="212121"/>
          <w:sz w:val="22"/>
          <w:szCs w:val="22"/>
        </w:rPr>
        <w:t xml:space="preserve"> of the improvements we have made so far are clearly evident in the forecasts for 2018 and in achievement at KS3 which has improved rapidly. </w:t>
      </w:r>
    </w:p>
    <w:p w:rsidR="009031D9" w:rsidRDefault="009031D9">
      <w:pPr>
        <w:shd w:val="clear" w:color="auto" w:fill="FFFFFF"/>
        <w:rPr>
          <w:rFonts w:ascii="Calibri" w:eastAsia="Calibri" w:hAnsi="Calibri" w:cs="Calibri"/>
          <w:color w:val="212121"/>
          <w:sz w:val="22"/>
          <w:szCs w:val="22"/>
        </w:rPr>
      </w:pPr>
    </w:p>
    <w:p w:rsidR="009031D9" w:rsidRDefault="00CF0056">
      <w:pPr>
        <w:shd w:val="clear" w:color="auto" w:fill="FFFFFF"/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What are we good at?</w:t>
      </w:r>
    </w:p>
    <w:p w:rsidR="009031D9" w:rsidRDefault="00CF0056">
      <w:pPr>
        <w:shd w:val="clear" w:color="auto" w:fill="FFFFFF"/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Our department includes a range of dedicated, specialist staff that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212121"/>
          <w:sz w:val="22"/>
          <w:szCs w:val="22"/>
        </w:rPr>
        <w:t>have</w:t>
      </w:r>
      <w:proofErr w:type="gramEnd"/>
      <w:r>
        <w:rPr>
          <w:rFonts w:ascii="Calibri" w:eastAsia="Calibri" w:hAnsi="Calibri" w:cs="Calibri"/>
          <w:color w:val="212121"/>
          <w:sz w:val="22"/>
          <w:szCs w:val="22"/>
        </w:rPr>
        <w:t xml:space="preserve"> developed the collaborative climate that has enabled teaching standards to improve throughout this year. In a recent faculty review led by an external consultant we were identified as ‘good’ under the current </w:t>
      </w:r>
      <w:proofErr w:type="spellStart"/>
      <w:r>
        <w:rPr>
          <w:rFonts w:ascii="Calibri" w:eastAsia="Calibri" w:hAnsi="Calibri" w:cs="Calibri"/>
          <w:color w:val="212121"/>
          <w:sz w:val="22"/>
          <w:szCs w:val="22"/>
        </w:rPr>
        <w:t>Ofsted</w:t>
      </w:r>
      <w:proofErr w:type="spellEnd"/>
      <w:r>
        <w:rPr>
          <w:rFonts w:ascii="Calibri" w:eastAsia="Calibri" w:hAnsi="Calibri" w:cs="Calibri"/>
          <w:color w:val="212121"/>
          <w:sz w:val="22"/>
          <w:szCs w:val="22"/>
        </w:rPr>
        <w:t xml:space="preserve"> framework in all areas except for 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achievement. In our lessons the teacher-student relationships have been identified as </w:t>
      </w:r>
      <w:proofErr w:type="gramStart"/>
      <w:r>
        <w:rPr>
          <w:rFonts w:ascii="Calibri" w:eastAsia="Calibri" w:hAnsi="Calibri" w:cs="Calibri"/>
          <w:color w:val="212121"/>
          <w:sz w:val="22"/>
          <w:szCs w:val="22"/>
        </w:rPr>
        <w:t>a strength</w:t>
      </w:r>
      <w:proofErr w:type="gramEnd"/>
      <w:r>
        <w:rPr>
          <w:rFonts w:ascii="Calibri" w:eastAsia="Calibri" w:hAnsi="Calibri" w:cs="Calibri"/>
          <w:color w:val="212121"/>
          <w:sz w:val="22"/>
          <w:szCs w:val="22"/>
        </w:rPr>
        <w:t>, as they are good and mutually respectful. Planning and questioning for progress has improved significantly within the department. In the best lessons, questio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ning checks understanding and supports progress through challenge and developing responses. </w:t>
      </w:r>
    </w:p>
    <w:p w:rsidR="009031D9" w:rsidRDefault="009031D9">
      <w:pPr>
        <w:shd w:val="clear" w:color="auto" w:fill="FFFFFF"/>
        <w:rPr>
          <w:rFonts w:ascii="Calibri" w:eastAsia="Calibri" w:hAnsi="Calibri" w:cs="Calibri"/>
          <w:color w:val="212121"/>
          <w:sz w:val="22"/>
          <w:szCs w:val="22"/>
        </w:rPr>
      </w:pPr>
    </w:p>
    <w:p w:rsidR="009031D9" w:rsidRDefault="00CF0056">
      <w:pPr>
        <w:shd w:val="clear" w:color="auto" w:fill="FFFFFF"/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What do we want to develop?</w:t>
      </w:r>
    </w:p>
    <w:p w:rsidR="009031D9" w:rsidRDefault="00CF0056">
      <w:pPr>
        <w:shd w:val="clear" w:color="auto" w:fill="FFFFFF"/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 xml:space="preserve">As our results demonstrate, our key priority is to develop the outcomes for students within Humanities. Within our </w:t>
      </w:r>
      <w:proofErr w:type="gramStart"/>
      <w:r>
        <w:rPr>
          <w:rFonts w:ascii="Calibri" w:eastAsia="Calibri" w:hAnsi="Calibri" w:cs="Calibri"/>
          <w:color w:val="212121"/>
          <w:sz w:val="22"/>
          <w:szCs w:val="22"/>
        </w:rPr>
        <w:t>lessons</w:t>
      </w:r>
      <w:proofErr w:type="gramEnd"/>
      <w:r>
        <w:rPr>
          <w:rFonts w:ascii="Calibri" w:eastAsia="Calibri" w:hAnsi="Calibri" w:cs="Calibri"/>
          <w:color w:val="212121"/>
          <w:sz w:val="22"/>
          <w:szCs w:val="22"/>
        </w:rPr>
        <w:t xml:space="preserve"> we are focu</w:t>
      </w:r>
      <w:r>
        <w:rPr>
          <w:rFonts w:ascii="Calibri" w:eastAsia="Calibri" w:hAnsi="Calibri" w:cs="Calibri"/>
          <w:color w:val="212121"/>
          <w:sz w:val="22"/>
          <w:szCs w:val="22"/>
        </w:rPr>
        <w:t>sing on further developing student response to marking making this an integral part of our learning and teaching. As a team we are developing the curriculum to ensure that standards of achievement and high expectations are maintained throughout KS3 and int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o KS4. The Humanities department is a committed, collaborative and student-centered team looking forward to welcoming a hard-working team player next year. </w:t>
      </w:r>
    </w:p>
    <w:p w:rsidR="009031D9" w:rsidRDefault="009031D9">
      <w:pPr>
        <w:shd w:val="clear" w:color="auto" w:fill="FFFFFF"/>
        <w:rPr>
          <w:rFonts w:ascii="Calibri" w:eastAsia="Calibri" w:hAnsi="Calibri" w:cs="Calibri"/>
          <w:color w:val="212121"/>
          <w:sz w:val="22"/>
          <w:szCs w:val="22"/>
        </w:rPr>
      </w:pPr>
    </w:p>
    <w:p w:rsidR="009031D9" w:rsidRDefault="009031D9">
      <w:pPr>
        <w:shd w:val="clear" w:color="auto" w:fill="FFFFFF"/>
        <w:rPr>
          <w:rFonts w:ascii="Calibri" w:eastAsia="Calibri" w:hAnsi="Calibri" w:cs="Calibri"/>
          <w:color w:val="212121"/>
          <w:sz w:val="22"/>
          <w:szCs w:val="22"/>
        </w:rPr>
      </w:pPr>
    </w:p>
    <w:p w:rsidR="009031D9" w:rsidRDefault="009031D9">
      <w:pPr>
        <w:rPr>
          <w:rFonts w:ascii="Calibri" w:eastAsia="Calibri" w:hAnsi="Calibri" w:cs="Calibri"/>
          <w:sz w:val="22"/>
          <w:szCs w:val="22"/>
        </w:rPr>
      </w:pPr>
    </w:p>
    <w:p w:rsidR="009031D9" w:rsidRDefault="009031D9">
      <w:pPr>
        <w:rPr>
          <w:rFonts w:ascii="Calibri" w:eastAsia="Calibri" w:hAnsi="Calibri" w:cs="Calibri"/>
          <w:sz w:val="22"/>
          <w:szCs w:val="22"/>
        </w:rPr>
      </w:pPr>
    </w:p>
    <w:sectPr w:rsidR="009031D9">
      <w:headerReference w:type="even" r:id="rId8"/>
      <w:headerReference w:type="default" r:id="rId9"/>
      <w:headerReference w:type="first" r:id="rId10"/>
      <w:pgSz w:w="11900" w:h="16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0056">
      <w:r>
        <w:separator/>
      </w:r>
    </w:p>
  </w:endnote>
  <w:endnote w:type="continuationSeparator" w:id="0">
    <w:p w:rsidR="00000000" w:rsidRDefault="00CF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0056">
      <w:r>
        <w:separator/>
      </w:r>
    </w:p>
  </w:footnote>
  <w:footnote w:type="continuationSeparator" w:id="0">
    <w:p w:rsidR="00000000" w:rsidRDefault="00CF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D9" w:rsidRDefault="009031D9">
    <w:pPr>
      <w:tabs>
        <w:tab w:val="center" w:pos="4320"/>
        <w:tab w:val="right" w:pos="8640"/>
      </w:tabs>
      <w:spacing w:befor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D9" w:rsidRDefault="009031D9">
    <w:pPr>
      <w:tabs>
        <w:tab w:val="center" w:pos="4320"/>
        <w:tab w:val="right" w:pos="8640"/>
      </w:tabs>
      <w:spacing w:befor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D9" w:rsidRDefault="009031D9">
    <w:pPr>
      <w:tabs>
        <w:tab w:val="center" w:pos="4320"/>
        <w:tab w:val="right" w:pos="8640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31D9"/>
    <w:rsid w:val="009031D9"/>
    <w:rsid w:val="00C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F838CA78</Template>
  <TotalTime>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Derbyshire</dc:creator>
  <cp:lastModifiedBy>Mrs J. Derbyshire</cp:lastModifiedBy>
  <cp:revision>2</cp:revision>
  <dcterms:created xsi:type="dcterms:W3CDTF">2017-11-13T09:44:00Z</dcterms:created>
  <dcterms:modified xsi:type="dcterms:W3CDTF">2017-11-13T09:44:00Z</dcterms:modified>
</cp:coreProperties>
</file>