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3022D5">
        <w:rPr>
          <w:rFonts w:ascii="Arial" w:eastAsia="Times New Roman" w:hAnsi="Arial" w:cs="Arial"/>
          <w:b/>
          <w:lang w:eastAsia="en-US"/>
        </w:rPr>
        <w:t>Job Description –</w:t>
      </w:r>
      <w:r w:rsidR="00C73EC9">
        <w:rPr>
          <w:rFonts w:ascii="Arial" w:eastAsia="Times New Roman" w:hAnsi="Arial" w:cs="Arial"/>
          <w:b/>
          <w:lang w:eastAsia="en-US"/>
        </w:rPr>
        <w:t xml:space="preserve"> Duke of Edinburgh</w:t>
      </w:r>
      <w:r w:rsidR="009D7EDA">
        <w:rPr>
          <w:rFonts w:ascii="Arial" w:eastAsia="Times New Roman" w:hAnsi="Arial" w:cs="Arial"/>
          <w:b/>
          <w:lang w:eastAsia="en-US"/>
        </w:rPr>
        <w:t>’s Award</w:t>
      </w:r>
      <w:r w:rsidR="00C73EC9">
        <w:rPr>
          <w:rFonts w:ascii="Arial" w:eastAsia="Times New Roman" w:hAnsi="Arial" w:cs="Arial"/>
          <w:b/>
          <w:lang w:eastAsia="en-US"/>
        </w:rPr>
        <w:t xml:space="preserve"> Co-ordinator</w:t>
      </w:r>
    </w:p>
    <w:p w:rsidR="001308E4" w:rsidRPr="003022D5" w:rsidRDefault="001308E4" w:rsidP="001308E4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2"/>
      </w:tblGrid>
      <w:tr w:rsidR="001308E4" w:rsidRPr="003022D5" w:rsidTr="00CF4C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3022D5" w:rsidRDefault="001308E4" w:rsidP="00CF4C3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022D5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3022D5" w:rsidRDefault="00C73EC9" w:rsidP="009D7E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9D7EDA">
              <w:rPr>
                <w:rFonts w:ascii="Arial" w:eastAsia="Times New Roman" w:hAnsi="Arial" w:cs="Arial"/>
              </w:rPr>
              <w:t xml:space="preserve">uke </w:t>
            </w:r>
            <w:r>
              <w:rPr>
                <w:rFonts w:ascii="Arial" w:eastAsia="Times New Roman" w:hAnsi="Arial" w:cs="Arial"/>
              </w:rPr>
              <w:t>of E</w:t>
            </w:r>
            <w:r w:rsidR="009D7EDA">
              <w:rPr>
                <w:rFonts w:ascii="Arial" w:eastAsia="Times New Roman" w:hAnsi="Arial" w:cs="Arial"/>
              </w:rPr>
              <w:t>dinburgh’s Award</w:t>
            </w:r>
            <w:r>
              <w:rPr>
                <w:rFonts w:ascii="Arial" w:eastAsia="Times New Roman" w:hAnsi="Arial" w:cs="Arial"/>
              </w:rPr>
              <w:t xml:space="preserve"> Co-ordinator</w:t>
            </w:r>
          </w:p>
        </w:tc>
      </w:tr>
      <w:tr w:rsidR="001308E4" w:rsidRPr="003022D5" w:rsidTr="00CF4C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022D5">
              <w:rPr>
                <w:rFonts w:ascii="Arial" w:eastAsia="Times New Roman" w:hAnsi="Arial" w:cs="Arial"/>
                <w:b/>
              </w:rPr>
              <w:t>Grade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3022D5" w:rsidRDefault="001308E4" w:rsidP="00C73E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022D5">
              <w:rPr>
                <w:rFonts w:ascii="Arial" w:eastAsia="Times New Roman" w:hAnsi="Arial" w:cs="Arial"/>
              </w:rPr>
              <w:t xml:space="preserve">Band </w:t>
            </w:r>
            <w:r w:rsidR="00C73EC9">
              <w:rPr>
                <w:rFonts w:ascii="Arial" w:eastAsia="Times New Roman" w:hAnsi="Arial" w:cs="Arial"/>
              </w:rPr>
              <w:t>3</w:t>
            </w:r>
            <w:r w:rsidRPr="003022D5">
              <w:rPr>
                <w:rFonts w:ascii="Arial" w:eastAsia="Times New Roman" w:hAnsi="Arial" w:cs="Arial"/>
              </w:rPr>
              <w:t xml:space="preserve"> Points </w:t>
            </w:r>
            <w:r>
              <w:rPr>
                <w:rFonts w:ascii="Arial" w:eastAsia="Times New Roman" w:hAnsi="Arial" w:cs="Arial"/>
              </w:rPr>
              <w:t>1</w:t>
            </w:r>
            <w:r w:rsidR="00C73EC9">
              <w:rPr>
                <w:rFonts w:ascii="Arial" w:eastAsia="Times New Roman" w:hAnsi="Arial" w:cs="Arial"/>
              </w:rPr>
              <w:t>7-21</w:t>
            </w:r>
          </w:p>
        </w:tc>
      </w:tr>
      <w:tr w:rsidR="001308E4" w:rsidRPr="003022D5" w:rsidTr="00CF4C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3022D5" w:rsidRDefault="001308E4" w:rsidP="00CF4C3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022D5">
              <w:rPr>
                <w:rFonts w:ascii="Arial" w:eastAsia="Times New Roman" w:hAnsi="Arial" w:cs="Arial"/>
                <w:b/>
              </w:rPr>
              <w:t>Reports to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85789F" w:rsidRDefault="00C73EC9" w:rsidP="00CF4C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Associate to the Principal</w:t>
            </w:r>
            <w:r w:rsidR="00CD0671">
              <w:rPr>
                <w:rFonts w:ascii="Arial" w:eastAsia="Times New Roman" w:hAnsi="Arial" w:cs="Arial"/>
              </w:rPr>
              <w:t xml:space="preserve"> or designated SLT line manager</w:t>
            </w:r>
          </w:p>
        </w:tc>
      </w:tr>
      <w:tr w:rsidR="001308E4" w:rsidRPr="003022D5" w:rsidTr="00CF4C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022D5">
              <w:rPr>
                <w:rFonts w:ascii="Arial" w:eastAsia="Times New Roman" w:hAnsi="Arial" w:cs="Arial"/>
                <w:b/>
              </w:rPr>
              <w:t>Job Purpose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4" w:rsidRPr="00C73EC9" w:rsidRDefault="00C73EC9" w:rsidP="009D7E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hAnsi="Arial" w:cs="Arial"/>
                <w:szCs w:val="24"/>
              </w:rPr>
              <w:t xml:space="preserve">Facilitate the delivery of </w:t>
            </w:r>
            <w:r w:rsidR="009D7EDA">
              <w:rPr>
                <w:rFonts w:ascii="Arial" w:hAnsi="Arial" w:cs="Arial"/>
                <w:szCs w:val="24"/>
              </w:rPr>
              <w:t>G</w:t>
            </w:r>
            <w:r w:rsidRPr="00C73EC9">
              <w:rPr>
                <w:rFonts w:ascii="Arial" w:hAnsi="Arial" w:cs="Arial"/>
                <w:szCs w:val="24"/>
              </w:rPr>
              <w:t xml:space="preserve">old, </w:t>
            </w:r>
            <w:r w:rsidR="009D7EDA">
              <w:rPr>
                <w:rFonts w:ascii="Arial" w:hAnsi="Arial" w:cs="Arial"/>
                <w:szCs w:val="24"/>
              </w:rPr>
              <w:t>S</w:t>
            </w:r>
            <w:r w:rsidRPr="00C73EC9">
              <w:rPr>
                <w:rFonts w:ascii="Arial" w:hAnsi="Arial" w:cs="Arial"/>
                <w:szCs w:val="24"/>
              </w:rPr>
              <w:t xml:space="preserve">ilver and </w:t>
            </w:r>
            <w:r w:rsidR="009D7EDA">
              <w:rPr>
                <w:rFonts w:ascii="Arial" w:hAnsi="Arial" w:cs="Arial"/>
                <w:szCs w:val="24"/>
              </w:rPr>
              <w:t>B</w:t>
            </w:r>
            <w:r w:rsidRPr="00C73EC9">
              <w:rPr>
                <w:rFonts w:ascii="Arial" w:hAnsi="Arial" w:cs="Arial"/>
                <w:szCs w:val="24"/>
              </w:rPr>
              <w:t>ronze Duke of Edinburgh’s Award for CCHSG students</w:t>
            </w:r>
          </w:p>
        </w:tc>
      </w:tr>
      <w:tr w:rsidR="001308E4" w:rsidRPr="003B4FB8" w:rsidTr="00CF4C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022D5">
              <w:rPr>
                <w:rFonts w:ascii="Arial" w:eastAsia="Times New Roman" w:hAnsi="Arial" w:cs="Arial"/>
                <w:b/>
              </w:rPr>
              <w:t>Duties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>Plan a programme for the delivery of the three levels for each academic year.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Budget for the delivery of the three levels for each academic year and decide a fee for students for each level, in consultation with the SBM and </w:t>
            </w:r>
            <w:r w:rsidR="00CD0671">
              <w:rPr>
                <w:rFonts w:ascii="Arial" w:eastAsia="Times New Roman" w:hAnsi="Arial" w:cs="Arial"/>
              </w:rPr>
              <w:t>SL</w:t>
            </w:r>
            <w:r w:rsidRPr="00C73EC9">
              <w:rPr>
                <w:rFonts w:ascii="Arial" w:eastAsia="Times New Roman" w:hAnsi="Arial" w:cs="Arial"/>
              </w:rPr>
              <w:t>T.  Monitor subsequent participants’ payments in liaison with the Finance Office.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Prepare, maintain and develop an adequate equipment store and arrange for the loan and return </w:t>
            </w:r>
            <w:r w:rsidR="00CD0671">
              <w:rPr>
                <w:rFonts w:ascii="Arial" w:eastAsia="Times New Roman" w:hAnsi="Arial" w:cs="Arial"/>
              </w:rPr>
              <w:t xml:space="preserve">of equipment </w:t>
            </w:r>
            <w:r w:rsidRPr="00C73EC9">
              <w:rPr>
                <w:rFonts w:ascii="Arial" w:eastAsia="Times New Roman" w:hAnsi="Arial" w:cs="Arial"/>
              </w:rPr>
              <w:t>for participants.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Promote </w:t>
            </w:r>
            <w:proofErr w:type="spellStart"/>
            <w:r w:rsidRPr="00C73EC9">
              <w:rPr>
                <w:rFonts w:ascii="Arial" w:eastAsia="Times New Roman" w:hAnsi="Arial" w:cs="Arial"/>
              </w:rPr>
              <w:t>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training and development for CCHSG staff.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Ensure that external staff are employed to fulfil expedition needs, where necessary and have relevant </w:t>
            </w:r>
            <w:proofErr w:type="spellStart"/>
            <w:r w:rsidRPr="00C73EC9">
              <w:rPr>
                <w:rFonts w:ascii="Arial" w:eastAsia="Times New Roman" w:hAnsi="Arial" w:cs="Arial"/>
              </w:rPr>
              <w:t>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qualifications.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Deliver the school </w:t>
            </w:r>
            <w:proofErr w:type="spellStart"/>
            <w:r w:rsidRPr="00C73EC9">
              <w:rPr>
                <w:rFonts w:ascii="Arial" w:eastAsia="Times New Roman" w:hAnsi="Arial" w:cs="Arial"/>
              </w:rPr>
              <w:t>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sessions, following the programme devised, involving CCHSG staff to develop their ability to deliver these sessions.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>Annually arrange, train and supervise a group of gold participants to act as mentors for the bronze groups (</w:t>
            </w:r>
            <w:proofErr w:type="spellStart"/>
            <w:r w:rsidRPr="00C73EC9">
              <w:rPr>
                <w:rFonts w:ascii="Arial" w:eastAsia="Times New Roman" w:hAnsi="Arial" w:cs="Arial"/>
              </w:rPr>
              <w:t>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leaders –DELs)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>Plan an expedition programme to include the booking of staff, accommodation, transport and food. Ensure that the programme complies with CCHSG Educational Trips and Visits Policy</w:t>
            </w:r>
            <w:r w:rsidR="00CD0671">
              <w:rPr>
                <w:rFonts w:ascii="Arial" w:eastAsia="Times New Roman" w:hAnsi="Arial" w:cs="Arial"/>
              </w:rPr>
              <w:t xml:space="preserve">, </w:t>
            </w:r>
            <w:r w:rsidRPr="00C73EC9">
              <w:rPr>
                <w:rFonts w:ascii="Arial" w:eastAsia="Times New Roman" w:hAnsi="Arial" w:cs="Arial"/>
              </w:rPr>
              <w:t>ECC Evolve visit guidance</w:t>
            </w:r>
            <w:r w:rsidR="00CD0671">
              <w:rPr>
                <w:rFonts w:ascii="Arial" w:eastAsia="Times New Roman" w:hAnsi="Arial" w:cs="Arial"/>
              </w:rPr>
              <w:t xml:space="preserve"> and safeguarding requirements</w:t>
            </w:r>
            <w:r w:rsidRPr="00C73EC9">
              <w:rPr>
                <w:rFonts w:ascii="Arial" w:eastAsia="Times New Roman" w:hAnsi="Arial" w:cs="Arial"/>
              </w:rPr>
              <w:t>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>Lead expeditions, delegating responsibility to CCHSG staff where necessary, to encourage the development of the skills required:</w:t>
            </w:r>
          </w:p>
          <w:p w:rsidR="00CD0671" w:rsidRDefault="00C73EC9" w:rsidP="00504A26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0671">
              <w:rPr>
                <w:rFonts w:ascii="Arial" w:eastAsia="Times New Roman" w:hAnsi="Arial" w:cs="Arial"/>
              </w:rPr>
              <w:t>Hard skills:</w:t>
            </w:r>
            <w:r w:rsidR="00CD0671" w:rsidRPr="00CD0671">
              <w:rPr>
                <w:rFonts w:ascii="Arial" w:eastAsia="Times New Roman" w:hAnsi="Arial" w:cs="Arial"/>
              </w:rPr>
              <w:t xml:space="preserve"> </w:t>
            </w:r>
            <w:r w:rsidRPr="00CD0671">
              <w:rPr>
                <w:rFonts w:ascii="Arial" w:eastAsia="Times New Roman" w:hAnsi="Arial" w:cs="Arial"/>
              </w:rPr>
              <w:t>hillwalking</w:t>
            </w:r>
            <w:r w:rsidR="00CD0671" w:rsidRPr="00CD0671">
              <w:rPr>
                <w:rFonts w:ascii="Arial" w:eastAsia="Times New Roman" w:hAnsi="Arial" w:cs="Arial"/>
              </w:rPr>
              <w:t xml:space="preserve">, </w:t>
            </w:r>
            <w:r w:rsidRPr="00CD0671">
              <w:rPr>
                <w:rFonts w:ascii="Arial" w:eastAsia="Times New Roman" w:hAnsi="Arial" w:cs="Arial"/>
              </w:rPr>
              <w:t>navigation</w:t>
            </w:r>
            <w:r w:rsidR="00CD0671" w:rsidRPr="00CD0671">
              <w:rPr>
                <w:rFonts w:ascii="Arial" w:eastAsia="Times New Roman" w:hAnsi="Arial" w:cs="Arial"/>
              </w:rPr>
              <w:t>, e</w:t>
            </w:r>
            <w:r w:rsidRPr="00CD0671">
              <w:rPr>
                <w:rFonts w:ascii="Arial" w:eastAsia="Times New Roman" w:hAnsi="Arial" w:cs="Arial"/>
              </w:rPr>
              <w:t>xpedition supervision</w:t>
            </w:r>
            <w:r w:rsidR="00CD0671" w:rsidRPr="00CD0671">
              <w:rPr>
                <w:rFonts w:ascii="Arial" w:eastAsia="Times New Roman" w:hAnsi="Arial" w:cs="Arial"/>
              </w:rPr>
              <w:t xml:space="preserve">, </w:t>
            </w:r>
            <w:r w:rsidRPr="00CD0671">
              <w:rPr>
                <w:rFonts w:ascii="Arial" w:eastAsia="Times New Roman" w:hAnsi="Arial" w:cs="Arial"/>
              </w:rPr>
              <w:t>expedition assessment</w:t>
            </w:r>
            <w:r w:rsidR="00CD0671" w:rsidRPr="00CD0671">
              <w:rPr>
                <w:rFonts w:ascii="Arial" w:eastAsia="Times New Roman" w:hAnsi="Arial" w:cs="Arial"/>
              </w:rPr>
              <w:t xml:space="preserve"> and First Aid in the Outdoors.  </w:t>
            </w:r>
          </w:p>
          <w:p w:rsidR="00C73EC9" w:rsidRPr="00CD0671" w:rsidRDefault="00C73EC9" w:rsidP="006E70C1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0671">
              <w:rPr>
                <w:rFonts w:ascii="Arial" w:eastAsia="Times New Roman" w:hAnsi="Arial" w:cs="Arial"/>
              </w:rPr>
              <w:t>Soft skills:</w:t>
            </w:r>
            <w:r w:rsidR="00CD0671" w:rsidRPr="00CD0671">
              <w:rPr>
                <w:rFonts w:ascii="Arial" w:eastAsia="Times New Roman" w:hAnsi="Arial" w:cs="Arial"/>
              </w:rPr>
              <w:t xml:space="preserve"> </w:t>
            </w:r>
            <w:r w:rsidRPr="00CD0671">
              <w:rPr>
                <w:rFonts w:ascii="Arial" w:eastAsia="Times New Roman" w:hAnsi="Arial" w:cs="Arial"/>
              </w:rPr>
              <w:t>group management</w:t>
            </w:r>
            <w:r w:rsidR="00CD0671" w:rsidRPr="00CD0671">
              <w:rPr>
                <w:rFonts w:ascii="Arial" w:eastAsia="Times New Roman" w:hAnsi="Arial" w:cs="Arial"/>
              </w:rPr>
              <w:t xml:space="preserve">, </w:t>
            </w:r>
            <w:r w:rsidR="00CD0671">
              <w:rPr>
                <w:rFonts w:ascii="Arial" w:eastAsia="Times New Roman" w:hAnsi="Arial" w:cs="Arial"/>
              </w:rPr>
              <w:t>staff deployment and management and pastoral care of students on expeditions.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Promote the full use of the </w:t>
            </w:r>
            <w:proofErr w:type="spellStart"/>
            <w:r w:rsidRPr="00C73EC9">
              <w:rPr>
                <w:rFonts w:ascii="Arial" w:eastAsia="Times New Roman" w:hAnsi="Arial" w:cs="Arial"/>
              </w:rPr>
              <w:t>eDofE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recording system to encourage all participants to fulfil their </w:t>
            </w:r>
            <w:proofErr w:type="spellStart"/>
            <w:r w:rsidRPr="00C73EC9">
              <w:rPr>
                <w:rFonts w:ascii="Arial" w:eastAsia="Times New Roman" w:hAnsi="Arial" w:cs="Arial"/>
              </w:rPr>
              <w:t>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potential and evidence the same.  Regularly monitor participants’ progress.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>Plan an annual Presentation Evening with the</w:t>
            </w:r>
            <w:r w:rsidR="00CD0671">
              <w:rPr>
                <w:rFonts w:ascii="Arial" w:eastAsia="Times New Roman" w:hAnsi="Arial" w:cs="Arial"/>
              </w:rPr>
              <w:t xml:space="preserve"> designated SLT member</w:t>
            </w:r>
            <w:r w:rsidRPr="00C73EC9">
              <w:rPr>
                <w:rFonts w:ascii="Arial" w:eastAsia="Times New Roman" w:hAnsi="Arial" w:cs="Arial"/>
              </w:rPr>
              <w:t>, liaising with the necessary internal and external agencies.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Report regularly to the </w:t>
            </w:r>
            <w:r w:rsidR="00CD0671">
              <w:rPr>
                <w:rFonts w:ascii="Arial" w:eastAsia="Times New Roman" w:hAnsi="Arial" w:cs="Arial"/>
              </w:rPr>
              <w:t>SL</w:t>
            </w:r>
            <w:r w:rsidRPr="00C73EC9">
              <w:rPr>
                <w:rFonts w:ascii="Arial" w:eastAsia="Times New Roman" w:hAnsi="Arial" w:cs="Arial"/>
              </w:rPr>
              <w:t>T to ensure the quality of delivery and to develop strategies to enhance that delivery.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>Maintain regular contact with the</w:t>
            </w:r>
            <w:r w:rsidR="00CD0671">
              <w:rPr>
                <w:rFonts w:ascii="Arial" w:eastAsia="Times New Roman" w:hAnsi="Arial" w:cs="Arial"/>
              </w:rPr>
              <w:t xml:space="preserve"> Regional </w:t>
            </w:r>
            <w:proofErr w:type="spellStart"/>
            <w:r w:rsidRPr="00C73EC9">
              <w:rPr>
                <w:rFonts w:ascii="Arial" w:eastAsia="Times New Roman" w:hAnsi="Arial" w:cs="Arial"/>
              </w:rPr>
              <w:t>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</w:t>
            </w:r>
            <w:r w:rsidR="00CD0671">
              <w:rPr>
                <w:rFonts w:ascii="Arial" w:eastAsia="Times New Roman" w:hAnsi="Arial" w:cs="Arial"/>
              </w:rPr>
              <w:t xml:space="preserve">Manager </w:t>
            </w:r>
            <w:r w:rsidRPr="00C73EC9">
              <w:rPr>
                <w:rFonts w:ascii="Arial" w:eastAsia="Times New Roman" w:hAnsi="Arial" w:cs="Arial"/>
              </w:rPr>
              <w:t>to ensure a flow of relevant information in both directions and to seek his/her help where necessary.</w:t>
            </w:r>
          </w:p>
          <w:p w:rsidR="00C73EC9" w:rsidRPr="00C73EC9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Comply with the requirements of the </w:t>
            </w:r>
            <w:proofErr w:type="spellStart"/>
            <w:r w:rsidR="00D0374F">
              <w:rPr>
                <w:rFonts w:ascii="Arial" w:eastAsia="Times New Roman" w:hAnsi="Arial" w:cs="Arial"/>
              </w:rPr>
              <w:t>DofE</w:t>
            </w:r>
            <w:proofErr w:type="spellEnd"/>
            <w:r w:rsidR="00D0374F">
              <w:rPr>
                <w:rFonts w:ascii="Arial" w:eastAsia="Times New Roman" w:hAnsi="Arial" w:cs="Arial"/>
              </w:rPr>
              <w:t xml:space="preserve"> Direct Operating Licence and liaise with the regional co-ordinator on a regular basis.</w:t>
            </w:r>
            <w:bookmarkStart w:id="0" w:name="_GoBack"/>
            <w:bookmarkEnd w:id="0"/>
          </w:p>
          <w:p w:rsidR="001308E4" w:rsidRDefault="00C73EC9" w:rsidP="00C73EC9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73EC9">
              <w:rPr>
                <w:rFonts w:ascii="Arial" w:eastAsia="Times New Roman" w:hAnsi="Arial" w:cs="Arial"/>
              </w:rPr>
              <w:t xml:space="preserve">Be available to undertake consultancy work with other schools regarding </w:t>
            </w:r>
            <w:proofErr w:type="spellStart"/>
            <w:r w:rsidRPr="00C73EC9">
              <w:rPr>
                <w:rFonts w:ascii="Arial" w:eastAsia="Times New Roman" w:hAnsi="Arial" w:cs="Arial"/>
              </w:rPr>
              <w:t>DofE</w:t>
            </w:r>
            <w:proofErr w:type="spellEnd"/>
            <w:r w:rsidRPr="00C73EC9">
              <w:rPr>
                <w:rFonts w:ascii="Arial" w:eastAsia="Times New Roman" w:hAnsi="Arial" w:cs="Arial"/>
              </w:rPr>
              <w:t xml:space="preserve"> on behalf of CCHSG</w:t>
            </w:r>
            <w:r w:rsidR="00CD0671">
              <w:rPr>
                <w:rFonts w:ascii="Arial" w:eastAsia="Times New Roman" w:hAnsi="Arial" w:cs="Arial"/>
              </w:rPr>
              <w:t xml:space="preserve"> as required</w:t>
            </w:r>
            <w:r w:rsidRPr="00C73EC9">
              <w:rPr>
                <w:rFonts w:ascii="Arial" w:eastAsia="Times New Roman" w:hAnsi="Arial" w:cs="Arial"/>
              </w:rPr>
              <w:t>.</w:t>
            </w:r>
          </w:p>
          <w:p w:rsidR="00C73EC9" w:rsidRDefault="00C73EC9" w:rsidP="00C73EC9">
            <w:p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73EC9" w:rsidRDefault="00C73EC9" w:rsidP="00C73EC9">
            <w:p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83097" w:rsidRDefault="00D83097" w:rsidP="00C73EC9">
            <w:p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83097" w:rsidRDefault="00D83097" w:rsidP="00C73EC9">
            <w:p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83097" w:rsidRDefault="00D83097" w:rsidP="00C73EC9">
            <w:p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83097" w:rsidRDefault="00D83097" w:rsidP="00C73EC9">
            <w:p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73EC9" w:rsidRPr="003B4FB8" w:rsidRDefault="00C73EC9" w:rsidP="00C73EC9">
            <w:pPr>
              <w:tabs>
                <w:tab w:val="left" w:pos="2160"/>
                <w:tab w:val="left" w:pos="2520"/>
                <w:tab w:val="left" w:pos="360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08E4" w:rsidRPr="003022D5" w:rsidTr="00CF4C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022D5">
              <w:rPr>
                <w:rFonts w:ascii="Arial" w:eastAsia="Times New Roman" w:hAnsi="Arial" w:cs="Arial"/>
                <w:b/>
              </w:rPr>
              <w:lastRenderedPageBreak/>
              <w:t>General</w:t>
            </w: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308E4" w:rsidRPr="003022D5" w:rsidRDefault="001308E4" w:rsidP="00CF4C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4" w:rsidRPr="007656CA" w:rsidRDefault="001308E4" w:rsidP="001308E4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3600"/>
                <w:tab w:val="left" w:pos="5040"/>
                <w:tab w:val="left" w:pos="6480"/>
              </w:tabs>
              <w:spacing w:after="0" w:line="240" w:lineRule="exact"/>
              <w:rPr>
                <w:rFonts w:ascii="Arial" w:eastAsia="Times New Roman" w:hAnsi="Arial" w:cs="Arial"/>
                <w:lang w:val="en-AU"/>
              </w:rPr>
            </w:pPr>
            <w:r w:rsidRPr="007656CA">
              <w:rPr>
                <w:rFonts w:ascii="Arial" w:eastAsia="Times New Roman" w:hAnsi="Arial" w:cs="Arial"/>
                <w:lang w:val="en-AU"/>
              </w:rPr>
              <w:t>To undertake any training commensurate with the post.</w:t>
            </w:r>
          </w:p>
          <w:p w:rsidR="001308E4" w:rsidRPr="007656CA" w:rsidRDefault="001308E4" w:rsidP="001308E4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3600"/>
                <w:tab w:val="left" w:pos="5040"/>
                <w:tab w:val="left" w:pos="6480"/>
              </w:tabs>
              <w:spacing w:after="0" w:line="240" w:lineRule="exact"/>
              <w:rPr>
                <w:rFonts w:ascii="Arial" w:eastAsia="Times New Roman" w:hAnsi="Arial" w:cs="Arial"/>
                <w:lang w:val="en-AU"/>
              </w:rPr>
            </w:pPr>
            <w:r w:rsidRPr="007656CA">
              <w:rPr>
                <w:rFonts w:ascii="Arial" w:eastAsia="Times New Roman" w:hAnsi="Arial" w:cs="Arial"/>
                <w:lang w:val="en-AU"/>
              </w:rPr>
              <w:t>To participate in the performance and development review process, taking personal responsibility for identification of learning, development and training opportunities in discussion with line manager.</w:t>
            </w:r>
          </w:p>
          <w:p w:rsidR="001308E4" w:rsidRPr="007656CA" w:rsidRDefault="001308E4" w:rsidP="001308E4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3600"/>
                <w:tab w:val="left" w:pos="5040"/>
                <w:tab w:val="left" w:pos="6480"/>
              </w:tabs>
              <w:spacing w:after="0" w:line="240" w:lineRule="exact"/>
              <w:rPr>
                <w:rFonts w:ascii="Arial" w:eastAsia="Times New Roman" w:hAnsi="Arial" w:cs="Arial"/>
                <w:lang w:val="en-AU"/>
              </w:rPr>
            </w:pPr>
            <w:r w:rsidRPr="007656CA">
              <w:rPr>
                <w:rFonts w:ascii="Arial" w:eastAsia="Times New Roman" w:hAnsi="Arial" w:cs="Arial"/>
                <w:lang w:val="en-AU"/>
              </w:rPr>
              <w:t>To comply with individual responsibilities, in accordance with the role, for health &amp; safety in the workplace</w:t>
            </w:r>
          </w:p>
          <w:p w:rsidR="001308E4" w:rsidRPr="007656CA" w:rsidRDefault="001308E4" w:rsidP="001308E4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3600"/>
                <w:tab w:val="left" w:pos="5040"/>
                <w:tab w:val="left" w:pos="6480"/>
              </w:tabs>
              <w:spacing w:after="0" w:line="240" w:lineRule="exact"/>
              <w:rPr>
                <w:rFonts w:ascii="Arial" w:eastAsia="Times New Roman" w:hAnsi="Arial" w:cs="Arial"/>
                <w:lang w:val="en-AU"/>
              </w:rPr>
            </w:pPr>
            <w:r w:rsidRPr="007656CA">
              <w:rPr>
                <w:rFonts w:ascii="Arial" w:eastAsia="Times New Roman" w:hAnsi="Arial" w:cs="Arial"/>
                <w:lang w:val="en-AU"/>
              </w:rPr>
              <w:t>Ensure that all duties and services provided are in accordance with the School’s Equal Opportunities Policy</w:t>
            </w:r>
          </w:p>
          <w:p w:rsidR="001308E4" w:rsidRPr="007656CA" w:rsidRDefault="001308E4" w:rsidP="001308E4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3600"/>
                <w:tab w:val="left" w:pos="5040"/>
                <w:tab w:val="left" w:pos="6480"/>
              </w:tabs>
              <w:spacing w:after="0" w:line="240" w:lineRule="exact"/>
              <w:rPr>
                <w:rFonts w:ascii="Arial" w:eastAsia="Times New Roman" w:hAnsi="Arial" w:cs="Arial"/>
                <w:lang w:val="en-AU"/>
              </w:rPr>
            </w:pPr>
            <w:r w:rsidRPr="007656CA">
              <w:rPr>
                <w:rFonts w:ascii="Arial" w:eastAsia="Times New Roman" w:hAnsi="Arial" w:cs="Arial"/>
                <w:lang w:val="en-AU"/>
              </w:rPr>
              <w:t xml:space="preserve">The Governing Body is committed to safeguarding and promoting the welfare of children and young people and expects all staff and volunteers to share in this commitment. </w:t>
            </w:r>
          </w:p>
          <w:p w:rsidR="001308E4" w:rsidRPr="007656CA" w:rsidRDefault="001308E4" w:rsidP="00D83097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3600"/>
                <w:tab w:val="left" w:pos="5040"/>
                <w:tab w:val="left" w:pos="64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83097">
              <w:rPr>
                <w:rFonts w:ascii="Arial" w:eastAsia="Times New Roman" w:hAnsi="Arial" w:cs="Arial"/>
                <w:lang w:val="en-AU"/>
              </w:rPr>
              <w:t xml:space="preserve">The duties above are neither exclusive nor exhaustive and the </w:t>
            </w:r>
            <w:proofErr w:type="spellStart"/>
            <w:r w:rsidRPr="00D83097">
              <w:rPr>
                <w:rFonts w:ascii="Arial" w:eastAsia="Times New Roman" w:hAnsi="Arial" w:cs="Arial"/>
                <w:lang w:val="en-AU"/>
              </w:rPr>
              <w:t>postholder</w:t>
            </w:r>
            <w:proofErr w:type="spellEnd"/>
            <w:r w:rsidRPr="00D83097">
              <w:rPr>
                <w:rFonts w:ascii="Arial" w:eastAsia="Times New Roman" w:hAnsi="Arial" w:cs="Arial"/>
                <w:lang w:val="en-AU"/>
              </w:rPr>
              <w:t xml:space="preserve"> may be required by the Executive Principal to carry out appropriate duties within the context of the job, skills and grade.</w:t>
            </w:r>
          </w:p>
        </w:tc>
      </w:tr>
      <w:tr w:rsidR="001308E4" w:rsidRPr="003022D5" w:rsidTr="00CF4C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4" w:rsidRPr="003022D5" w:rsidRDefault="001308E4" w:rsidP="00CF4C3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022D5">
              <w:rPr>
                <w:rFonts w:ascii="Arial" w:eastAsia="Times New Roman" w:hAnsi="Arial" w:cs="Arial"/>
                <w:b/>
              </w:rPr>
              <w:t>Health and Safety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E4" w:rsidRPr="003022D5" w:rsidRDefault="001308E4" w:rsidP="00CF4C3F">
            <w:pPr>
              <w:tabs>
                <w:tab w:val="num" w:pos="550"/>
                <w:tab w:val="num" w:pos="880"/>
                <w:tab w:val="num" w:pos="1820"/>
              </w:tabs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Under the Health and Safety at Work Act 1974 all employees are responsible for:</w:t>
            </w:r>
          </w:p>
          <w:p w:rsidR="001308E4" w:rsidRPr="003022D5" w:rsidRDefault="001308E4" w:rsidP="00CF4C3F">
            <w:pPr>
              <w:tabs>
                <w:tab w:val="num" w:pos="880"/>
                <w:tab w:val="num" w:pos="1820"/>
              </w:tabs>
              <w:spacing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Looking after their own safety and the safety of others affected by their work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>Co-operating with the School, by following safe working practices and carrying out their health and safety responsibilities as detailed in the School’s policies, risk assessments and health and safety standards.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>Reporting to their line manager any hazards they identify and any inadequacies in health and safety procedures.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 xml:space="preserve">Taking part in any health and safety training and development identified as necessary by the </w:t>
            </w:r>
            <w:r>
              <w:rPr>
                <w:rFonts w:ascii="Arial" w:eastAsia="Times New Roman" w:hAnsi="Arial" w:cs="Arial"/>
                <w:lang w:eastAsia="en-US"/>
              </w:rPr>
              <w:t>Executive Principal</w:t>
            </w:r>
            <w:r w:rsidRPr="003022D5">
              <w:rPr>
                <w:rFonts w:ascii="Arial" w:eastAsia="Times New Roman" w:hAnsi="Arial" w:cs="Arial"/>
                <w:lang w:eastAsia="en-US"/>
              </w:rPr>
              <w:t xml:space="preserve"> or their Line Manager.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>Using work equipment provided correctly, in accordance with instructions or training.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>Ensuring that if they organise projects or activities involving pupils or other non-employees, risks are assessed as part of the planning stage and control measures implemented.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>Reporting health and safety incidents, in accordance with the School’s health and safety Incident Reporting Procedure.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 xml:space="preserve">Contributing to the safety education of pupils through the formal and informal curriculum. 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>Ensuring that any visitors in their care follow health and safety instructions.</w:t>
            </w:r>
            <w:r w:rsidRPr="003022D5">
              <w:rPr>
                <w:rFonts w:ascii="Arial" w:eastAsia="Times New Roman" w:hAnsi="Arial" w:cs="Arial"/>
                <w:lang w:eastAsia="en-US"/>
              </w:rPr>
              <w:br/>
              <w:t>Effective supervision and safety of pupils under their care. This includes ensuring that pupils follow health and safety instructions.</w:t>
            </w:r>
          </w:p>
        </w:tc>
      </w:tr>
    </w:tbl>
    <w:p w:rsidR="001308E4" w:rsidRPr="003022D5" w:rsidRDefault="001308E4" w:rsidP="001308E4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US"/>
        </w:rPr>
      </w:pPr>
    </w:p>
    <w:p w:rsidR="001308E4" w:rsidRDefault="00943B76" w:rsidP="00943B76">
      <w:pPr>
        <w:spacing w:after="0" w:line="240" w:lineRule="auto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Information about DofE at CCHSG</w:t>
      </w:r>
    </w:p>
    <w:p w:rsidR="00943B76" w:rsidRDefault="00943B76" w:rsidP="00943B76">
      <w:pPr>
        <w:spacing w:after="0" w:line="240" w:lineRule="auto"/>
        <w:rPr>
          <w:rFonts w:ascii="Arial" w:eastAsia="Calibri" w:hAnsi="Arial" w:cs="Arial"/>
          <w:u w:val="single"/>
          <w:lang w:eastAsia="en-US"/>
        </w:rPr>
      </w:pPr>
    </w:p>
    <w:p w:rsidR="00943B76" w:rsidRDefault="00943B76" w:rsidP="00943B7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CCHSG has a Direct Operating licence.</w:t>
      </w:r>
    </w:p>
    <w:p w:rsidR="00943B76" w:rsidRDefault="00943B76" w:rsidP="00943B7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Gold, Silver and Bronze Awards all run at the school</w:t>
      </w:r>
    </w:p>
    <w:p w:rsidR="00943B76" w:rsidRDefault="00943B76" w:rsidP="00943B7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On average, currently 80-90 students participate at Bronze level, 30-40 at Silver and 15-20 at Gold.</w:t>
      </w:r>
    </w:p>
    <w:p w:rsidR="00943B76" w:rsidRDefault="00943B76" w:rsidP="00943B7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The </w:t>
      </w:r>
      <w:proofErr w:type="spellStart"/>
      <w:r>
        <w:rPr>
          <w:rFonts w:ascii="Arial" w:eastAsia="Calibri" w:hAnsi="Arial" w:cs="Arial"/>
          <w:lang w:eastAsia="en-US"/>
        </w:rPr>
        <w:t>DofE</w:t>
      </w:r>
      <w:proofErr w:type="spellEnd"/>
      <w:r>
        <w:rPr>
          <w:rFonts w:ascii="Arial" w:eastAsia="Calibri" w:hAnsi="Arial" w:cs="Arial"/>
          <w:lang w:eastAsia="en-US"/>
        </w:rPr>
        <w:t xml:space="preserve"> Award Scheme is entirely self-funded.</w:t>
      </w:r>
    </w:p>
    <w:p w:rsidR="00943B76" w:rsidRDefault="00943B76" w:rsidP="00943B7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There is a large range of equipment available for use which is stored on site.</w:t>
      </w:r>
    </w:p>
    <w:p w:rsidR="00943B76" w:rsidRPr="00943B76" w:rsidRDefault="00943B76" w:rsidP="00943B7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Several staff volunteers assist at the training sessions and on expeditions, assisted by external </w:t>
      </w:r>
      <w:proofErr w:type="spellStart"/>
      <w:r>
        <w:rPr>
          <w:rFonts w:ascii="Arial" w:eastAsia="Calibri" w:hAnsi="Arial" w:cs="Arial"/>
          <w:lang w:eastAsia="en-US"/>
        </w:rPr>
        <w:t>DofE</w:t>
      </w:r>
      <w:proofErr w:type="spellEnd"/>
      <w:r>
        <w:rPr>
          <w:rFonts w:ascii="Arial" w:eastAsia="Calibri" w:hAnsi="Arial" w:cs="Arial"/>
          <w:lang w:eastAsia="en-US"/>
        </w:rPr>
        <w:t xml:space="preserve"> Supervisors and Assessors.</w:t>
      </w:r>
    </w:p>
    <w:p w:rsidR="001308E4" w:rsidRPr="003022D5" w:rsidRDefault="001308E4" w:rsidP="001308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1308E4" w:rsidRDefault="001308E4" w:rsidP="001308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1308E4" w:rsidRDefault="001308E4" w:rsidP="001308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1308E4" w:rsidRDefault="001308E4" w:rsidP="001308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1308E4" w:rsidRDefault="001308E4" w:rsidP="001308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1308E4" w:rsidRDefault="001308E4" w:rsidP="001308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1308E4" w:rsidRPr="003022D5" w:rsidRDefault="001308E4" w:rsidP="001308E4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022D5">
        <w:rPr>
          <w:rFonts w:ascii="Arial" w:eastAsia="Calibri" w:hAnsi="Arial" w:cs="Arial"/>
          <w:b/>
          <w:lang w:eastAsia="en-US"/>
        </w:rPr>
        <w:lastRenderedPageBreak/>
        <w:t>Person Specification</w:t>
      </w:r>
    </w:p>
    <w:p w:rsidR="001308E4" w:rsidRPr="003022D5" w:rsidRDefault="001308E4" w:rsidP="001308E4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771"/>
      </w:tblGrid>
      <w:tr w:rsidR="001308E4" w:rsidRPr="003022D5" w:rsidTr="00CF4C3F">
        <w:tc>
          <w:tcPr>
            <w:tcW w:w="2235" w:type="dxa"/>
            <w:shd w:val="clear" w:color="auto" w:fill="auto"/>
          </w:tcPr>
          <w:p w:rsidR="001308E4" w:rsidRPr="003022D5" w:rsidRDefault="001308E4" w:rsidP="00CF4C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3022D5">
              <w:rPr>
                <w:rFonts w:ascii="Arial" w:eastAsia="Times New Roman" w:hAnsi="Arial" w:cs="Arial"/>
                <w:b/>
                <w:lang w:eastAsia="en-US"/>
              </w:rPr>
              <w:t>General Heading</w:t>
            </w:r>
          </w:p>
        </w:tc>
        <w:tc>
          <w:tcPr>
            <w:tcW w:w="2976" w:type="dxa"/>
            <w:shd w:val="clear" w:color="auto" w:fill="auto"/>
          </w:tcPr>
          <w:p w:rsidR="001308E4" w:rsidRPr="003022D5" w:rsidRDefault="001308E4" w:rsidP="00CF4C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3022D5">
              <w:rPr>
                <w:rFonts w:ascii="Arial" w:eastAsia="Times New Roman" w:hAnsi="Arial" w:cs="Arial"/>
                <w:b/>
                <w:lang w:eastAsia="en-US"/>
              </w:rPr>
              <w:t>Detail</w:t>
            </w:r>
          </w:p>
        </w:tc>
        <w:tc>
          <w:tcPr>
            <w:tcW w:w="3771" w:type="dxa"/>
            <w:shd w:val="clear" w:color="auto" w:fill="auto"/>
          </w:tcPr>
          <w:p w:rsidR="001308E4" w:rsidRPr="003022D5" w:rsidRDefault="001308E4" w:rsidP="00CF4C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3022D5">
              <w:rPr>
                <w:rFonts w:ascii="Arial" w:eastAsia="Times New Roman" w:hAnsi="Arial" w:cs="Arial"/>
                <w:b/>
                <w:lang w:eastAsia="en-US"/>
              </w:rPr>
              <w:t>Examples</w:t>
            </w:r>
          </w:p>
        </w:tc>
      </w:tr>
      <w:tr w:rsidR="00C73EC9" w:rsidRPr="003022D5" w:rsidTr="00CF4C3F">
        <w:tc>
          <w:tcPr>
            <w:tcW w:w="2235" w:type="dxa"/>
            <w:vMerge w:val="restart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Qualifications and Experience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Specific qualifications and experience</w:t>
            </w:r>
          </w:p>
        </w:tc>
        <w:tc>
          <w:tcPr>
            <w:tcW w:w="3771" w:type="dxa"/>
            <w:shd w:val="clear" w:color="auto" w:fill="auto"/>
          </w:tcPr>
          <w:p w:rsidR="00C73EC9" w:rsidRPr="00C73EC9" w:rsidRDefault="00C73EC9" w:rsidP="00C73EC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73EC9">
              <w:rPr>
                <w:rFonts w:ascii="Arial" w:hAnsi="Arial" w:cs="Arial"/>
                <w:szCs w:val="24"/>
              </w:rPr>
              <w:t>Relevant walking qualifications e.g. ML, LLA, BEL.  Associated first aid qualification – First Aid in the Outdoors. Hillwalking experience and experience in leading expeditions at all levels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Literacy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English to GCSE Grade C and above</w:t>
            </w:r>
            <w:r>
              <w:rPr>
                <w:rFonts w:ascii="Arial" w:eastAsia="Times New Roman" w:hAnsi="Arial" w:cs="Arial"/>
                <w:lang w:eastAsia="en-US"/>
              </w:rPr>
              <w:t xml:space="preserve"> or equivalent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Numeracy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Maths to GCSE Grade C and above</w:t>
            </w:r>
            <w:r>
              <w:rPr>
                <w:rFonts w:ascii="Arial" w:eastAsia="Times New Roman" w:hAnsi="Arial" w:cs="Arial"/>
                <w:lang w:eastAsia="en-US"/>
              </w:rPr>
              <w:t xml:space="preserve"> or equivalent</w:t>
            </w:r>
          </w:p>
        </w:tc>
      </w:tr>
      <w:tr w:rsidR="00C73EC9" w:rsidRPr="003022D5" w:rsidTr="00CF4C3F">
        <w:tc>
          <w:tcPr>
            <w:tcW w:w="2235" w:type="dxa"/>
            <w:vMerge w:val="restart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3022D5">
              <w:rPr>
                <w:rFonts w:ascii="Arial" w:eastAsia="Calibri" w:hAnsi="Arial" w:cs="Arial"/>
                <w:lang w:eastAsia="en-US"/>
              </w:rPr>
              <w:t>Communication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Written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 xml:space="preserve">Ability to write detailed reports, letters etc. 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Verbal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exchange complex and sensitive information clearly with children and adults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Listening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actively listen and seek to overcome communication barriers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Negotiating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consult effectively with children and adults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Confidentiality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keep information confidential</w:t>
            </w:r>
          </w:p>
        </w:tc>
      </w:tr>
      <w:tr w:rsidR="00C73EC9" w:rsidRPr="003022D5" w:rsidTr="00CF4C3F">
        <w:tc>
          <w:tcPr>
            <w:tcW w:w="2235" w:type="dxa"/>
            <w:vMerge w:val="restart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Working with Children</w:t>
            </w: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Behaviour Management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Understanding and implementation of school behaviour management policy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SEN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Understand and support the differences in children and adults in relation to ICT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Curriculum/School Organisation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D83097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 xml:space="preserve">General understanding of the school curriculum and organisation structure 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Child Development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D83097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 xml:space="preserve">Understanding of how </w:t>
            </w:r>
            <w:r w:rsidR="00D83097">
              <w:rPr>
                <w:rFonts w:ascii="Arial" w:eastAsia="Times New Roman" w:hAnsi="Arial" w:cs="Arial"/>
                <w:lang w:eastAsia="en-US"/>
              </w:rPr>
              <w:t xml:space="preserve">D of E </w:t>
            </w:r>
            <w:r w:rsidRPr="003022D5">
              <w:rPr>
                <w:rFonts w:ascii="Arial" w:eastAsia="Times New Roman" w:hAnsi="Arial" w:cs="Arial"/>
                <w:lang w:eastAsia="en-US"/>
              </w:rPr>
              <w:t>contributes to the way in which children develop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IT Skills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Ability to use IT such as Word and Excel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Child Protection &amp; Safeguarding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Basic understanding of requirements and responsibilities under Child Protection &amp; Safeguarding</w:t>
            </w:r>
          </w:p>
        </w:tc>
      </w:tr>
      <w:tr w:rsidR="00C73EC9" w:rsidRPr="003022D5" w:rsidTr="00CF4C3F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Health and Well Being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Understand and promote the value of emotional and physical well-being in adults and children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Take responsibility for own wellbeing</w:t>
            </w:r>
          </w:p>
        </w:tc>
      </w:tr>
      <w:tr w:rsidR="00C73EC9" w:rsidRPr="003022D5" w:rsidTr="00CF4C3F">
        <w:tc>
          <w:tcPr>
            <w:tcW w:w="2235" w:type="dxa"/>
            <w:vMerge w:val="restart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Calibri" w:hAnsi="Arial" w:cs="Arial"/>
                <w:u w:val="single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Working with Others</w:t>
            </w: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Working with partners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form effective relationships with those working in and with school</w:t>
            </w:r>
            <w:r>
              <w:rPr>
                <w:rFonts w:ascii="Arial" w:eastAsia="Times New Roman" w:hAnsi="Arial" w:cs="Arial"/>
                <w:lang w:eastAsia="en-US"/>
              </w:rPr>
              <w:t xml:space="preserve"> external partners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Relationships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Patience and the ability to deal with a wide range of demands from a variety of people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 xml:space="preserve">Ability to establish rapport and </w:t>
            </w:r>
            <w:r w:rsidRPr="003022D5">
              <w:rPr>
                <w:rFonts w:ascii="Arial" w:eastAsia="Times New Roman" w:hAnsi="Arial" w:cs="Arial"/>
                <w:lang w:eastAsia="en-US"/>
              </w:rPr>
              <w:lastRenderedPageBreak/>
              <w:t>respectful, trusting relationships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build open and honest relationships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Team Work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Work effectively as part of a team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work independently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Know how and when to seek support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Information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provide clear, timely and accurate information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Equalities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Demonstrate commitment to treating all people fairly</w:t>
            </w:r>
          </w:p>
        </w:tc>
      </w:tr>
      <w:tr w:rsidR="00C73EC9" w:rsidRPr="003022D5" w:rsidTr="00CF4C3F">
        <w:tc>
          <w:tcPr>
            <w:tcW w:w="2235" w:type="dxa"/>
            <w:vMerge w:val="restart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Skills</w:t>
            </w: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Organisational and Time Management Skills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Good organisational skills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prioritise work and manage own time effectively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Flexible attitude to day to day tasks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Time Management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plan and manage own time effectively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Creativity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follow instructions</w:t>
            </w:r>
          </w:p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Ability to resolve problems independently</w:t>
            </w:r>
          </w:p>
        </w:tc>
      </w:tr>
      <w:tr w:rsidR="00C73EC9" w:rsidRPr="003022D5" w:rsidTr="00CF4C3F">
        <w:tc>
          <w:tcPr>
            <w:tcW w:w="2235" w:type="dxa"/>
            <w:vMerge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CPD</w:t>
            </w:r>
          </w:p>
        </w:tc>
        <w:tc>
          <w:tcPr>
            <w:tcW w:w="3771" w:type="dxa"/>
            <w:shd w:val="clear" w:color="auto" w:fill="auto"/>
          </w:tcPr>
          <w:p w:rsidR="00C73EC9" w:rsidRPr="003022D5" w:rsidRDefault="00C73EC9" w:rsidP="00C73EC9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022D5">
              <w:rPr>
                <w:rFonts w:ascii="Arial" w:eastAsia="Times New Roman" w:hAnsi="Arial" w:cs="Arial"/>
                <w:lang w:eastAsia="en-US"/>
              </w:rPr>
              <w:t>Demonstrate commitment to own and others professional development</w:t>
            </w:r>
          </w:p>
        </w:tc>
      </w:tr>
    </w:tbl>
    <w:p w:rsidR="001308E4" w:rsidRPr="003022D5" w:rsidRDefault="001308E4" w:rsidP="001308E4">
      <w:pPr>
        <w:spacing w:after="0" w:line="240" w:lineRule="auto"/>
        <w:rPr>
          <w:rFonts w:ascii="Arial" w:eastAsia="Calibri" w:hAnsi="Arial" w:cs="Arial"/>
          <w:u w:val="single"/>
          <w:lang w:eastAsia="en-US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3022D5" w:rsidRDefault="001308E4" w:rsidP="001308E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1308E4" w:rsidRPr="009B68ED" w:rsidRDefault="001308E4" w:rsidP="001308E4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1308E4" w:rsidRPr="009B68ED" w:rsidRDefault="001308E4" w:rsidP="001308E4">
      <w:pPr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</w:p>
    <w:p w:rsidR="001308E4" w:rsidRPr="009B68ED" w:rsidRDefault="001308E4" w:rsidP="001308E4">
      <w:pPr>
        <w:spacing w:after="0" w:line="240" w:lineRule="auto"/>
        <w:jc w:val="center"/>
        <w:rPr>
          <w:rFonts w:ascii="Arial" w:eastAsia="Times New Roman" w:hAnsi="Arial" w:cs="Arial"/>
          <w:b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308E4" w:rsidRDefault="001308E4" w:rsidP="001308E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53A48" w:rsidRDefault="00153A48"/>
    <w:sectPr w:rsidR="00153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82AE0"/>
    <w:multiLevelType w:val="hybridMultilevel"/>
    <w:tmpl w:val="01D4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5746"/>
    <w:multiLevelType w:val="hybridMultilevel"/>
    <w:tmpl w:val="AE9E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667C"/>
    <w:multiLevelType w:val="hybridMultilevel"/>
    <w:tmpl w:val="6F36EE60"/>
    <w:lvl w:ilvl="0" w:tplc="CE5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EF"/>
    <w:rsid w:val="001308E4"/>
    <w:rsid w:val="00153A48"/>
    <w:rsid w:val="003B4FB8"/>
    <w:rsid w:val="005D310B"/>
    <w:rsid w:val="008D6CEF"/>
    <w:rsid w:val="00943B76"/>
    <w:rsid w:val="009D7EDA"/>
    <w:rsid w:val="00C73EC9"/>
    <w:rsid w:val="00CD0671"/>
    <w:rsid w:val="00CD06E3"/>
    <w:rsid w:val="00D0374F"/>
    <w:rsid w:val="00D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4F6D"/>
  <w15:chartTrackingRefBased/>
  <w15:docId w15:val="{15DD54E5-9CA1-4A83-8526-91D61343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County High School for Girls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LQuinn (CCHSG)</dc:creator>
  <cp:keywords/>
  <dc:description/>
  <cp:lastModifiedBy>LQuinn (CCHSG)</cp:lastModifiedBy>
  <cp:revision>8</cp:revision>
  <dcterms:created xsi:type="dcterms:W3CDTF">2018-08-31T10:02:00Z</dcterms:created>
  <dcterms:modified xsi:type="dcterms:W3CDTF">2018-12-06T12:07:00Z</dcterms:modified>
</cp:coreProperties>
</file>