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C553A2"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C553A2" w:rsidRDefault="00EF0B77" w:rsidP="003B2B94">
            <w:pPr>
              <w:spacing w:after="0" w:line="240" w:lineRule="auto"/>
              <w:rPr>
                <w:sz w:val="20"/>
              </w:rPr>
            </w:pPr>
            <w:r w:rsidRPr="00C553A2">
              <w:rPr>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rsidR="00EF0B77" w:rsidRPr="00C553A2" w:rsidRDefault="00266221" w:rsidP="003B2B94">
            <w:pPr>
              <w:spacing w:after="0" w:line="240" w:lineRule="auto"/>
              <w:rPr>
                <w:sz w:val="20"/>
              </w:rPr>
            </w:pPr>
            <w:r w:rsidRPr="00C553A2">
              <w:rPr>
                <w:sz w:val="20"/>
              </w:rPr>
              <w:t xml:space="preserve">Department of Education </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C553A2" w:rsidRDefault="00EF0B77" w:rsidP="003B2B94">
            <w:pPr>
              <w:spacing w:after="0" w:line="240" w:lineRule="auto"/>
              <w:rPr>
                <w:sz w:val="20"/>
              </w:rPr>
            </w:pPr>
            <w:r w:rsidRPr="00C553A2">
              <w:rPr>
                <w:sz w:val="20"/>
              </w:rPr>
              <w:t>Work unit</w:t>
            </w:r>
          </w:p>
        </w:tc>
        <w:tc>
          <w:tcPr>
            <w:tcW w:w="3966" w:type="dxa"/>
            <w:tcBorders>
              <w:top w:val="single" w:sz="4" w:space="0" w:color="1F1F5F" w:themeColor="text1"/>
              <w:left w:val="single" w:sz="4" w:space="0" w:color="1F1F5F" w:themeColor="text1"/>
            </w:tcBorders>
            <w:tcMar>
              <w:left w:w="57" w:type="dxa"/>
              <w:right w:w="57" w:type="dxa"/>
            </w:tcMar>
          </w:tcPr>
          <w:p w:rsidR="00EF0B77" w:rsidRPr="00C553A2" w:rsidRDefault="00266221" w:rsidP="003B2B94">
            <w:pPr>
              <w:spacing w:after="0" w:line="240" w:lineRule="auto"/>
              <w:rPr>
                <w:sz w:val="20"/>
              </w:rPr>
            </w:pPr>
            <w:r w:rsidRPr="00C553A2">
              <w:rPr>
                <w:rFonts w:cs="Arial"/>
                <w:sz w:val="20"/>
                <w:lang w:val="en-GB"/>
              </w:rPr>
              <w:t>Strategic Policy and Intergovernmental Relations</w:t>
            </w:r>
          </w:p>
        </w:tc>
      </w:tr>
      <w:tr w:rsidR="00266221" w:rsidRPr="00C553A2" w:rsidTr="00EB080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266221" w:rsidRPr="00C553A2" w:rsidRDefault="00266221" w:rsidP="003B2B94">
            <w:pPr>
              <w:spacing w:after="0" w:line="240" w:lineRule="auto"/>
              <w:rPr>
                <w:sz w:val="20"/>
              </w:rPr>
            </w:pPr>
            <w:r w:rsidRPr="00C553A2">
              <w:rPr>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rsidR="00266221" w:rsidRPr="00C553A2" w:rsidRDefault="00266221" w:rsidP="008D770C">
            <w:pPr>
              <w:spacing w:after="0" w:line="240" w:lineRule="auto"/>
              <w:rPr>
                <w:sz w:val="20"/>
              </w:rPr>
            </w:pPr>
            <w:r w:rsidRPr="00C553A2">
              <w:rPr>
                <w:rFonts w:cs="Arial"/>
                <w:sz w:val="20"/>
                <w:lang w:eastAsia="en-US"/>
              </w:rPr>
              <w:t>Senior Director Strategic Policy</w:t>
            </w:r>
            <w:r w:rsidR="003B2B94" w:rsidRPr="00C553A2">
              <w:rPr>
                <w:rFonts w:cs="Arial"/>
                <w:sz w:val="20"/>
                <w:lang w:eastAsia="en-US"/>
              </w:rPr>
              <w:t xml:space="preserve"> </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266221" w:rsidRPr="00C553A2" w:rsidRDefault="00266221" w:rsidP="003B2B94">
            <w:pPr>
              <w:spacing w:after="0" w:line="240" w:lineRule="auto"/>
              <w:rPr>
                <w:sz w:val="20"/>
              </w:rPr>
            </w:pPr>
            <w:r w:rsidRPr="00C553A2">
              <w:rPr>
                <w:sz w:val="20"/>
              </w:rPr>
              <w:t>Designation</w:t>
            </w:r>
          </w:p>
        </w:tc>
        <w:tc>
          <w:tcPr>
            <w:tcW w:w="3966" w:type="dxa"/>
            <w:tcBorders>
              <w:left w:val="single" w:sz="4" w:space="0" w:color="1F1F5F" w:themeColor="text1"/>
            </w:tcBorders>
            <w:tcMar>
              <w:left w:w="57" w:type="dxa"/>
              <w:right w:w="57" w:type="dxa"/>
            </w:tcMar>
          </w:tcPr>
          <w:p w:rsidR="00266221" w:rsidRPr="00C553A2" w:rsidRDefault="00266221" w:rsidP="003B2B94">
            <w:pPr>
              <w:spacing w:after="0" w:line="240" w:lineRule="auto"/>
              <w:rPr>
                <w:sz w:val="20"/>
              </w:rPr>
            </w:pPr>
            <w:r w:rsidRPr="00C553A2">
              <w:rPr>
                <w:rFonts w:cs="Arial"/>
                <w:sz w:val="20"/>
                <w:lang w:val="en-GB"/>
              </w:rPr>
              <w:t>Executive Contract Officer 1</w:t>
            </w:r>
          </w:p>
        </w:tc>
      </w:tr>
      <w:tr w:rsidR="00266221" w:rsidRPr="00C553A2" w:rsidTr="00BC224E">
        <w:trPr>
          <w:trHeight w:val="275"/>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266221" w:rsidRPr="00C553A2" w:rsidRDefault="00266221" w:rsidP="003B2B94">
            <w:pPr>
              <w:spacing w:after="0" w:line="240" w:lineRule="auto"/>
              <w:rPr>
                <w:sz w:val="20"/>
              </w:rPr>
            </w:pPr>
            <w:r w:rsidRPr="00C553A2">
              <w:rPr>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rsidR="00266221" w:rsidRPr="00C553A2" w:rsidRDefault="00730EDC" w:rsidP="003B2B94">
            <w:pPr>
              <w:spacing w:after="0" w:line="240" w:lineRule="auto"/>
              <w:rPr>
                <w:sz w:val="20"/>
              </w:rPr>
            </w:pPr>
            <w:r w:rsidRPr="00C553A2">
              <w:rPr>
                <w:sz w:val="20"/>
              </w:rPr>
              <w:t>Full T</w:t>
            </w:r>
            <w:r w:rsidR="00266221" w:rsidRPr="00C553A2">
              <w:rPr>
                <w:sz w:val="20"/>
              </w:rPr>
              <w: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266221" w:rsidRPr="00C553A2" w:rsidRDefault="00266221" w:rsidP="003B2B94">
            <w:pPr>
              <w:spacing w:after="0" w:line="240" w:lineRule="auto"/>
              <w:rPr>
                <w:sz w:val="20"/>
              </w:rPr>
            </w:pPr>
            <w:r w:rsidRPr="00C553A2">
              <w:rPr>
                <w:sz w:val="20"/>
              </w:rPr>
              <w:t>Duration</w:t>
            </w:r>
          </w:p>
        </w:tc>
        <w:tc>
          <w:tcPr>
            <w:tcW w:w="3966" w:type="dxa"/>
            <w:tcBorders>
              <w:left w:val="single" w:sz="4" w:space="0" w:color="1F1F5F" w:themeColor="text1"/>
            </w:tcBorders>
            <w:tcMar>
              <w:left w:w="57" w:type="dxa"/>
              <w:right w:w="57" w:type="dxa"/>
            </w:tcMar>
          </w:tcPr>
          <w:p w:rsidR="00266221" w:rsidRPr="00C553A2" w:rsidRDefault="003B2B94" w:rsidP="008D770C">
            <w:pPr>
              <w:pStyle w:val="tabletext"/>
              <w:rPr>
                <w:rFonts w:ascii="Lato" w:hAnsi="Lato"/>
              </w:rPr>
            </w:pPr>
            <w:r w:rsidRPr="00C553A2">
              <w:rPr>
                <w:rFonts w:ascii="Lato" w:hAnsi="Lato" w:cs="Arial"/>
              </w:rPr>
              <w:t xml:space="preserve">Fixed for </w:t>
            </w:r>
            <w:r w:rsidR="008D770C" w:rsidRPr="00C553A2">
              <w:rPr>
                <w:rFonts w:ascii="Lato" w:hAnsi="Lato" w:cs="Arial"/>
              </w:rPr>
              <w:t>6 months</w:t>
            </w:r>
          </w:p>
        </w:tc>
      </w:tr>
      <w:tr w:rsidR="00266221" w:rsidRPr="00C553A2" w:rsidTr="00EB080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266221" w:rsidRPr="00C553A2" w:rsidRDefault="00266221" w:rsidP="003B2B94">
            <w:pPr>
              <w:spacing w:after="0" w:line="240" w:lineRule="auto"/>
              <w:rPr>
                <w:sz w:val="20"/>
              </w:rPr>
            </w:pPr>
            <w:r w:rsidRPr="00C553A2">
              <w:rPr>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rsidR="00266221" w:rsidRPr="00C553A2" w:rsidRDefault="00730EDC" w:rsidP="00D5690B">
            <w:pPr>
              <w:spacing w:after="0" w:line="240" w:lineRule="auto"/>
              <w:rPr>
                <w:sz w:val="20"/>
              </w:rPr>
            </w:pPr>
            <w:r w:rsidRPr="00C553A2">
              <w:rPr>
                <w:sz w:val="20"/>
              </w:rPr>
              <w:t>$217,533</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266221" w:rsidRPr="00C553A2" w:rsidRDefault="00266221" w:rsidP="003B2B94">
            <w:pPr>
              <w:spacing w:after="0" w:line="240" w:lineRule="auto"/>
              <w:rPr>
                <w:sz w:val="20"/>
              </w:rPr>
            </w:pPr>
            <w:r w:rsidRPr="00C553A2">
              <w:rPr>
                <w:sz w:val="20"/>
              </w:rPr>
              <w:t>Location</w:t>
            </w:r>
          </w:p>
        </w:tc>
        <w:tc>
          <w:tcPr>
            <w:tcW w:w="3966" w:type="dxa"/>
            <w:tcBorders>
              <w:left w:val="single" w:sz="4" w:space="0" w:color="1F1F5F" w:themeColor="text1"/>
            </w:tcBorders>
            <w:tcMar>
              <w:left w:w="57" w:type="dxa"/>
              <w:right w:w="57" w:type="dxa"/>
            </w:tcMar>
          </w:tcPr>
          <w:p w:rsidR="00266221" w:rsidRPr="00C553A2" w:rsidRDefault="00266221" w:rsidP="003B2B94">
            <w:pPr>
              <w:spacing w:after="0" w:line="240" w:lineRule="auto"/>
              <w:rPr>
                <w:sz w:val="20"/>
              </w:rPr>
            </w:pPr>
            <w:r w:rsidRPr="00C553A2">
              <w:rPr>
                <w:rFonts w:cs="Arial"/>
                <w:sz w:val="20"/>
              </w:rPr>
              <w:t>Darwin</w:t>
            </w:r>
          </w:p>
        </w:tc>
      </w:tr>
      <w:tr w:rsidR="00266221" w:rsidRPr="00C553A2"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266221" w:rsidRPr="00C553A2" w:rsidRDefault="00266221" w:rsidP="003B2B94">
            <w:pPr>
              <w:spacing w:after="0" w:line="240" w:lineRule="auto"/>
              <w:rPr>
                <w:sz w:val="20"/>
                <w:lang w:val="en-GB"/>
              </w:rPr>
            </w:pPr>
            <w:r w:rsidRPr="00C553A2">
              <w:rPr>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266221" w:rsidRPr="00C553A2" w:rsidRDefault="00E24B73" w:rsidP="003B2B94">
            <w:pPr>
              <w:spacing w:after="0" w:line="240" w:lineRule="auto"/>
              <w:rPr>
                <w:sz w:val="20"/>
              </w:rPr>
            </w:pPr>
            <w:proofErr w:type="spellStart"/>
            <w:r w:rsidRPr="00C553A2">
              <w:rPr>
                <w:sz w:val="20"/>
              </w:rPr>
              <w:t>CO210019</w:t>
            </w:r>
            <w:proofErr w:type="spellEnd"/>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rsidR="00266221" w:rsidRPr="00C553A2" w:rsidRDefault="00266221" w:rsidP="003B2B94">
            <w:pPr>
              <w:spacing w:after="0" w:line="240" w:lineRule="auto"/>
              <w:rPr>
                <w:sz w:val="20"/>
              </w:rPr>
            </w:pPr>
            <w:r w:rsidRPr="00C553A2">
              <w:rPr>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266221" w:rsidRPr="00C553A2" w:rsidRDefault="006B6BEE" w:rsidP="003B2B94">
            <w:pPr>
              <w:spacing w:after="0" w:line="240" w:lineRule="auto"/>
              <w:rPr>
                <w:sz w:val="20"/>
              </w:rPr>
            </w:pPr>
            <w:r w:rsidRPr="00C553A2">
              <w:rPr>
                <w:sz w:val="20"/>
              </w:rPr>
              <w:t>207635</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rsidR="00266221" w:rsidRPr="00C553A2" w:rsidRDefault="00266221" w:rsidP="003B2B94">
            <w:pPr>
              <w:spacing w:after="0" w:line="240" w:lineRule="auto"/>
              <w:rPr>
                <w:sz w:val="20"/>
              </w:rPr>
            </w:pPr>
            <w:r w:rsidRPr="00C553A2">
              <w:rPr>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rsidR="00266221" w:rsidRPr="00C553A2" w:rsidRDefault="008D770C" w:rsidP="00D41542">
            <w:pPr>
              <w:spacing w:after="0" w:line="240" w:lineRule="auto"/>
              <w:rPr>
                <w:sz w:val="20"/>
              </w:rPr>
            </w:pPr>
            <w:r w:rsidRPr="00C553A2">
              <w:rPr>
                <w:sz w:val="20"/>
              </w:rPr>
              <w:t>2</w:t>
            </w:r>
            <w:r w:rsidR="00D41542">
              <w:rPr>
                <w:sz w:val="20"/>
              </w:rPr>
              <w:t>5</w:t>
            </w:r>
            <w:bookmarkStart w:id="0" w:name="_GoBack"/>
            <w:bookmarkEnd w:id="0"/>
            <w:r w:rsidR="00EF4A1F" w:rsidRPr="00C553A2">
              <w:rPr>
                <w:sz w:val="20"/>
              </w:rPr>
              <w:t>/</w:t>
            </w:r>
            <w:r w:rsidRPr="00C553A2">
              <w:rPr>
                <w:sz w:val="20"/>
              </w:rPr>
              <w:t>02/2021</w:t>
            </w:r>
          </w:p>
        </w:tc>
      </w:tr>
      <w:tr w:rsidR="00266221" w:rsidRPr="00C553A2"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266221" w:rsidRPr="00C553A2" w:rsidRDefault="00266221" w:rsidP="003B2B94">
            <w:pPr>
              <w:spacing w:after="0" w:line="240" w:lineRule="auto"/>
              <w:rPr>
                <w:sz w:val="20"/>
                <w:lang w:val="en-GB"/>
              </w:rPr>
            </w:pPr>
            <w:r w:rsidRPr="00C553A2">
              <w:rPr>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266221" w:rsidRPr="00C553A2" w:rsidRDefault="00266221" w:rsidP="003B2B94">
            <w:pPr>
              <w:spacing w:after="0" w:line="240" w:lineRule="auto"/>
              <w:rPr>
                <w:rFonts w:cs="Arial"/>
                <w:bCs/>
                <w:i/>
                <w:iCs/>
                <w:sz w:val="20"/>
                <w:lang w:val="en-GB"/>
              </w:rPr>
            </w:pPr>
            <w:r w:rsidRPr="00C553A2">
              <w:rPr>
                <w:rFonts w:cs="Arial"/>
                <w:bCs/>
                <w:iCs/>
                <w:sz w:val="20"/>
                <w:lang w:val="en-GB"/>
              </w:rPr>
              <w:t xml:space="preserve">Gillian Sharkey, General </w:t>
            </w:r>
            <w:r w:rsidR="003B2B94" w:rsidRPr="00C553A2">
              <w:rPr>
                <w:rFonts w:cs="Arial"/>
                <w:bCs/>
                <w:iCs/>
                <w:sz w:val="20"/>
                <w:lang w:val="en-GB"/>
              </w:rPr>
              <w:t>Manager Strategic Services on 08</w:t>
            </w:r>
            <w:r w:rsidR="003574FB" w:rsidRPr="00C553A2">
              <w:rPr>
                <w:rFonts w:cs="Arial"/>
                <w:bCs/>
                <w:iCs/>
                <w:sz w:val="20"/>
                <w:lang w:val="en-GB"/>
              </w:rPr>
              <w:t xml:space="preserve"> 890</w:t>
            </w:r>
            <w:r w:rsidRPr="00C553A2">
              <w:rPr>
                <w:rFonts w:cs="Arial"/>
                <w:bCs/>
                <w:iCs/>
                <w:sz w:val="20"/>
                <w:lang w:val="en-GB"/>
              </w:rPr>
              <w:t>1</w:t>
            </w:r>
            <w:r w:rsidR="003574FB" w:rsidRPr="00C553A2">
              <w:rPr>
                <w:rFonts w:cs="Arial"/>
                <w:bCs/>
                <w:iCs/>
                <w:sz w:val="20"/>
                <w:lang w:val="en-GB"/>
              </w:rPr>
              <w:t xml:space="preserve"> </w:t>
            </w:r>
            <w:r w:rsidRPr="00C553A2">
              <w:rPr>
                <w:rFonts w:cs="Arial"/>
                <w:bCs/>
                <w:iCs/>
                <w:sz w:val="20"/>
                <w:lang w:val="en-GB"/>
              </w:rPr>
              <w:t>1387</w:t>
            </w:r>
          </w:p>
        </w:tc>
      </w:tr>
      <w:tr w:rsidR="00266221" w:rsidRPr="00C553A2"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266221" w:rsidRPr="00C553A2" w:rsidRDefault="00266221" w:rsidP="003B2B94">
            <w:pPr>
              <w:spacing w:after="0" w:line="240" w:lineRule="auto"/>
              <w:rPr>
                <w:sz w:val="20"/>
                <w:lang w:val="en-GB"/>
              </w:rPr>
            </w:pPr>
            <w:r w:rsidRPr="00C553A2">
              <w:rPr>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266221" w:rsidRPr="00C553A2" w:rsidRDefault="00FB3D53" w:rsidP="003B2B94">
            <w:pPr>
              <w:spacing w:after="0" w:line="240" w:lineRule="auto"/>
              <w:rPr>
                <w:rFonts w:cs="Arial"/>
                <w:sz w:val="20"/>
              </w:rPr>
            </w:pPr>
            <w:hyperlink r:id="rId9" w:history="1">
              <w:r w:rsidR="00BC224E" w:rsidRPr="00C553A2">
                <w:rPr>
                  <w:rStyle w:val="Hyperlink"/>
                  <w:rFonts w:cs="Arial"/>
                  <w:sz w:val="20"/>
                </w:rPr>
                <w:t>http://www.education.nt.gov.au</w:t>
              </w:r>
            </w:hyperlink>
            <w:r w:rsidR="00BC224E" w:rsidRPr="00C553A2">
              <w:rPr>
                <w:rFonts w:cs="Arial"/>
                <w:sz w:val="20"/>
              </w:rPr>
              <w:t xml:space="preserve"> </w:t>
            </w:r>
          </w:p>
        </w:tc>
      </w:tr>
      <w:tr w:rsidR="00266221" w:rsidRPr="00C553A2" w:rsidTr="00EB0807">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rsidR="00266221" w:rsidRPr="00C553A2" w:rsidRDefault="00266221" w:rsidP="003B2B94">
            <w:pPr>
              <w:spacing w:after="0" w:line="240" w:lineRule="auto"/>
              <w:rPr>
                <w:rFonts w:cs="Arial"/>
                <w:bCs/>
                <w:iCs/>
                <w:sz w:val="20"/>
                <w:lang w:val="en-GB"/>
              </w:rPr>
            </w:pPr>
            <w:r w:rsidRPr="00C553A2">
              <w:rPr>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vAlign w:val="center"/>
          </w:tcPr>
          <w:p w:rsidR="00266221" w:rsidRPr="00C553A2" w:rsidRDefault="00FB3D53" w:rsidP="003B2B94">
            <w:pPr>
              <w:spacing w:after="0" w:line="240" w:lineRule="auto"/>
              <w:rPr>
                <w:sz w:val="20"/>
              </w:rPr>
            </w:pPr>
            <w:hyperlink r:id="rId10" w:history="1">
              <w:r w:rsidR="00E24B73" w:rsidRPr="00C553A2">
                <w:rPr>
                  <w:rStyle w:val="Hyperlink"/>
                  <w:sz w:val="20"/>
                </w:rPr>
                <w:t>https://jobs.nt.gov.au/Home/JobDetails?rtfId=207635</w:t>
              </w:r>
            </w:hyperlink>
            <w:r w:rsidR="00E24B73" w:rsidRPr="00C553A2">
              <w:rPr>
                <w:sz w:val="20"/>
              </w:rPr>
              <w:t xml:space="preserve"> </w:t>
            </w:r>
          </w:p>
        </w:tc>
      </w:tr>
      <w:tr w:rsidR="00266221" w:rsidRPr="00C553A2"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266221" w:rsidRPr="00C553A2" w:rsidRDefault="00266221" w:rsidP="003B2B94">
            <w:pPr>
              <w:pStyle w:val="Heading1"/>
              <w:spacing w:before="0"/>
              <w:outlineLvl w:val="0"/>
              <w:rPr>
                <w:sz w:val="20"/>
              </w:rPr>
            </w:pPr>
            <w:r w:rsidRPr="00C553A2">
              <w:rPr>
                <w:sz w:val="20"/>
              </w:rPr>
              <w:t>Information for applicants</w:t>
            </w:r>
          </w:p>
          <w:p w:rsidR="00266221" w:rsidRPr="00C553A2" w:rsidRDefault="00266221" w:rsidP="003B2B94">
            <w:pPr>
              <w:spacing w:after="0" w:line="240" w:lineRule="auto"/>
              <w:rPr>
                <w:sz w:val="20"/>
              </w:rPr>
            </w:pPr>
            <w:r w:rsidRPr="00C553A2">
              <w:rPr>
                <w:sz w:val="20"/>
              </w:rPr>
              <w:t xml:space="preserve">Applications must be limited to a one-page summary sheet and detailed resume-. </w:t>
            </w:r>
          </w:p>
          <w:p w:rsidR="00266221" w:rsidRPr="00C553A2" w:rsidRDefault="00266221" w:rsidP="003B2B94">
            <w:pPr>
              <w:spacing w:after="0" w:line="240" w:lineRule="auto"/>
              <w:rPr>
                <w:sz w:val="20"/>
              </w:rPr>
            </w:pPr>
            <w:r w:rsidRPr="00C553A2">
              <w:rPr>
                <w:sz w:val="20"/>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1" w:history="1">
              <w:r w:rsidRPr="00C553A2">
                <w:rPr>
                  <w:rStyle w:val="Hyperlink"/>
                  <w:sz w:val="20"/>
                </w:rPr>
                <w:t>OCPE website</w:t>
              </w:r>
            </w:hyperlink>
            <w:r w:rsidRPr="00C553A2">
              <w:rPr>
                <w:sz w:val="20"/>
              </w:rPr>
              <w:t>.</w:t>
            </w:r>
          </w:p>
          <w:p w:rsidR="00266221" w:rsidRPr="00C553A2" w:rsidRDefault="00266221" w:rsidP="00BC224E">
            <w:pPr>
              <w:spacing w:after="0" w:line="240" w:lineRule="auto"/>
              <w:rPr>
                <w:sz w:val="20"/>
              </w:rPr>
            </w:pPr>
            <w:r w:rsidRPr="00C553A2">
              <w:rPr>
                <w:sz w:val="20"/>
              </w:rPr>
              <w:t xml:space="preserve">Under the agency’s Special Measures Recruitment </w:t>
            </w:r>
            <w:proofErr w:type="gramStart"/>
            <w:r w:rsidRPr="00C553A2">
              <w:rPr>
                <w:sz w:val="20"/>
              </w:rPr>
              <w:t>Plan</w:t>
            </w:r>
            <w:proofErr w:type="gramEnd"/>
            <w:r w:rsidRPr="00C553A2">
              <w:rPr>
                <w:sz w:val="20"/>
              </w:rPr>
              <w:t xml:space="preserve"> eligible Aboriginal and Torres Strait Islander (Aboriginal) applicants will </w:t>
            </w:r>
            <w:r w:rsidR="00FF578A" w:rsidRPr="00C553A2">
              <w:rPr>
                <w:sz w:val="20"/>
              </w:rPr>
              <w:t>b</w:t>
            </w:r>
            <w:r w:rsidRPr="00C553A2">
              <w:rPr>
                <w:sz w:val="20"/>
              </w:rPr>
              <w:t xml:space="preserve">e granted priority consideration for this vacancy. For more information on Special Measures, go to the </w:t>
            </w:r>
            <w:hyperlink r:id="rId12" w:history="1">
              <w:r w:rsidRPr="00C553A2">
                <w:rPr>
                  <w:rStyle w:val="Hyperlink"/>
                  <w:sz w:val="20"/>
                </w:rPr>
                <w:t>OCPE website</w:t>
              </w:r>
            </w:hyperlink>
            <w:r w:rsidRPr="00C553A2">
              <w:rPr>
                <w:sz w:val="20"/>
              </w:rPr>
              <w:t>.</w:t>
            </w:r>
          </w:p>
        </w:tc>
      </w:tr>
    </w:tbl>
    <w:p w:rsidR="003B2B94" w:rsidRPr="00C553A2" w:rsidRDefault="003B2B94" w:rsidP="005044B7">
      <w:pPr>
        <w:spacing w:after="0" w:line="240" w:lineRule="auto"/>
        <w:ind w:left="284" w:right="-166" w:hanging="284"/>
        <w:rPr>
          <w:rFonts w:cs="Arial"/>
          <w:bCs/>
          <w:iCs/>
          <w:color w:val="1F1F5F" w:themeColor="text1"/>
          <w:sz w:val="20"/>
          <w:u w:val="single"/>
          <w:lang w:val="en-GB"/>
        </w:rPr>
      </w:pPr>
    </w:p>
    <w:p w:rsidR="00E24B73" w:rsidRPr="00C553A2" w:rsidRDefault="00E24B73" w:rsidP="005044B7">
      <w:pPr>
        <w:spacing w:after="0" w:line="240" w:lineRule="auto"/>
        <w:ind w:right="140"/>
        <w:rPr>
          <w:rFonts w:cs="Arial"/>
          <w:sz w:val="20"/>
        </w:rPr>
      </w:pPr>
      <w:r w:rsidRPr="00C553A2">
        <w:rPr>
          <w:rFonts w:cs="Arial"/>
          <w:bCs/>
          <w:iCs/>
          <w:color w:val="1F1F5F" w:themeColor="text1"/>
          <w:sz w:val="20"/>
          <w:lang w:val="en-GB"/>
        </w:rPr>
        <w:t>Primary Objective</w:t>
      </w:r>
      <w:r w:rsidR="00266221" w:rsidRPr="00C553A2">
        <w:rPr>
          <w:rFonts w:cs="Arial"/>
          <w:sz w:val="20"/>
        </w:rPr>
        <w:t xml:space="preserve"> </w:t>
      </w:r>
    </w:p>
    <w:p w:rsidR="00266221" w:rsidRPr="00C553A2" w:rsidRDefault="00266221" w:rsidP="005044B7">
      <w:pPr>
        <w:spacing w:after="0" w:line="240" w:lineRule="auto"/>
        <w:ind w:right="140"/>
        <w:rPr>
          <w:rFonts w:cs="Arial"/>
          <w:sz w:val="20"/>
        </w:rPr>
      </w:pPr>
      <w:r w:rsidRPr="00C553A2">
        <w:rPr>
          <w:rFonts w:cs="Arial"/>
          <w:sz w:val="20"/>
        </w:rPr>
        <w:t xml:space="preserve">Provide </w:t>
      </w:r>
      <w:r w:rsidR="00E649CE" w:rsidRPr="00C553A2">
        <w:rPr>
          <w:rFonts w:cs="Arial"/>
          <w:sz w:val="20"/>
        </w:rPr>
        <w:t>leadership of strategic policy priorities of Education Executive Board</w:t>
      </w:r>
      <w:r w:rsidR="004B23EE" w:rsidRPr="00C553A2">
        <w:rPr>
          <w:rFonts w:cs="Arial"/>
          <w:sz w:val="20"/>
        </w:rPr>
        <w:t>, including student</w:t>
      </w:r>
      <w:r w:rsidR="00E649CE" w:rsidRPr="00C553A2">
        <w:rPr>
          <w:rFonts w:cs="Arial"/>
          <w:sz w:val="20"/>
        </w:rPr>
        <w:t xml:space="preserve"> engagement, early childhood and Aboriginal education. </w:t>
      </w:r>
    </w:p>
    <w:p w:rsidR="003B2B94" w:rsidRPr="00C553A2" w:rsidRDefault="003B2B94" w:rsidP="005044B7">
      <w:pPr>
        <w:spacing w:after="0" w:line="240" w:lineRule="auto"/>
        <w:ind w:left="284" w:right="140" w:hanging="284"/>
        <w:rPr>
          <w:rFonts w:cs="Arial"/>
          <w:bCs/>
          <w:iCs/>
          <w:color w:val="1F1F5F" w:themeColor="text1"/>
          <w:sz w:val="20"/>
          <w:u w:val="single"/>
          <w:lang w:val="en-GB"/>
        </w:rPr>
      </w:pPr>
    </w:p>
    <w:p w:rsidR="00E24B73" w:rsidRPr="00C553A2" w:rsidRDefault="00E24B73" w:rsidP="005044B7">
      <w:pPr>
        <w:spacing w:after="0" w:line="240" w:lineRule="auto"/>
        <w:ind w:right="140"/>
        <w:rPr>
          <w:rFonts w:cs="Arial"/>
          <w:sz w:val="20"/>
        </w:rPr>
      </w:pPr>
      <w:r w:rsidRPr="00C553A2">
        <w:rPr>
          <w:rFonts w:cs="Arial"/>
          <w:bCs/>
          <w:iCs/>
          <w:color w:val="1F1F5F" w:themeColor="text1"/>
          <w:sz w:val="20"/>
          <w:lang w:val="en-GB"/>
        </w:rPr>
        <w:t>Context Statement</w:t>
      </w:r>
      <w:r w:rsidR="00266221" w:rsidRPr="00C553A2">
        <w:rPr>
          <w:rFonts w:cs="Arial"/>
          <w:sz w:val="20"/>
        </w:rPr>
        <w:t xml:space="preserve"> </w:t>
      </w:r>
    </w:p>
    <w:p w:rsidR="00266221" w:rsidRPr="00C553A2" w:rsidRDefault="004B23EE" w:rsidP="005044B7">
      <w:pPr>
        <w:spacing w:after="0" w:line="240" w:lineRule="auto"/>
        <w:ind w:right="140"/>
        <w:rPr>
          <w:rFonts w:cs="Arial"/>
          <w:sz w:val="20"/>
        </w:rPr>
      </w:pPr>
      <w:r w:rsidRPr="00C553A2">
        <w:rPr>
          <w:rFonts w:cs="Arial"/>
          <w:sz w:val="20"/>
        </w:rPr>
        <w:t>The Senior Director Strategic Policy will</w:t>
      </w:r>
      <w:r w:rsidR="00E649CE" w:rsidRPr="00C553A2">
        <w:rPr>
          <w:rFonts w:cs="Arial"/>
          <w:sz w:val="20"/>
        </w:rPr>
        <w:t xml:space="preserve"> lead a multifunctional team </w:t>
      </w:r>
      <w:r w:rsidRPr="00C553A2">
        <w:rPr>
          <w:rFonts w:cs="Arial"/>
          <w:sz w:val="20"/>
        </w:rPr>
        <w:t>to deliver</w:t>
      </w:r>
      <w:r w:rsidR="00E649CE" w:rsidRPr="00C553A2">
        <w:rPr>
          <w:rFonts w:cs="Arial"/>
          <w:sz w:val="20"/>
        </w:rPr>
        <w:t xml:space="preserve"> three items of priority policy work by September 2021. </w:t>
      </w:r>
    </w:p>
    <w:p w:rsidR="003B2B94" w:rsidRPr="00C553A2" w:rsidRDefault="003B2B94" w:rsidP="005044B7">
      <w:pPr>
        <w:keepLines/>
        <w:spacing w:after="0" w:line="240" w:lineRule="auto"/>
        <w:ind w:left="284" w:right="140" w:hanging="284"/>
        <w:rPr>
          <w:rFonts w:cs="Arial"/>
          <w:bCs/>
          <w:iCs/>
          <w:color w:val="1F1F5F" w:themeColor="text1"/>
          <w:sz w:val="20"/>
          <w:u w:val="single"/>
          <w:lang w:val="en-GB"/>
        </w:rPr>
      </w:pPr>
    </w:p>
    <w:p w:rsidR="00266221" w:rsidRPr="00C553A2" w:rsidRDefault="00E24B73" w:rsidP="005044B7">
      <w:pPr>
        <w:spacing w:after="0" w:line="240" w:lineRule="auto"/>
        <w:ind w:left="284" w:right="140" w:hanging="284"/>
        <w:rPr>
          <w:rFonts w:cs="Arial"/>
          <w:bCs/>
          <w:iCs/>
          <w:color w:val="1F1F5F" w:themeColor="text1"/>
          <w:sz w:val="20"/>
          <w:lang w:val="en-GB"/>
        </w:rPr>
      </w:pPr>
      <w:r w:rsidRPr="00C553A2">
        <w:rPr>
          <w:rFonts w:cs="Arial"/>
          <w:bCs/>
          <w:iCs/>
          <w:color w:val="1F1F5F" w:themeColor="text1"/>
          <w:sz w:val="20"/>
          <w:lang w:val="en-GB"/>
        </w:rPr>
        <w:t>Key Duties and Responsibilities</w:t>
      </w:r>
      <w:r w:rsidR="00266221" w:rsidRPr="00C553A2">
        <w:rPr>
          <w:rFonts w:cs="Arial"/>
          <w:bCs/>
          <w:iCs/>
          <w:color w:val="1F1F5F" w:themeColor="text1"/>
          <w:sz w:val="20"/>
          <w:lang w:val="en-GB"/>
        </w:rPr>
        <w:t xml:space="preserve"> </w:t>
      </w:r>
    </w:p>
    <w:p w:rsidR="00266221" w:rsidRPr="00C553A2" w:rsidRDefault="00266221" w:rsidP="005044B7">
      <w:pPr>
        <w:pStyle w:val="ListParagraph"/>
        <w:numPr>
          <w:ilvl w:val="0"/>
          <w:numId w:val="24"/>
        </w:numPr>
        <w:spacing w:after="0" w:line="240" w:lineRule="auto"/>
        <w:ind w:left="284" w:right="142" w:hanging="284"/>
        <w:rPr>
          <w:rFonts w:eastAsia="Calibri" w:cs="Arial"/>
          <w:color w:val="000000"/>
          <w:sz w:val="20"/>
        </w:rPr>
      </w:pPr>
      <w:r w:rsidRPr="00C553A2">
        <w:rPr>
          <w:rFonts w:eastAsia="Calibri" w:cs="Arial"/>
          <w:color w:val="000000"/>
          <w:sz w:val="20"/>
        </w:rPr>
        <w:t xml:space="preserve">Lead and manage the design, development and implementation of priority strategic policy through </w:t>
      </w:r>
      <w:r w:rsidR="004B23EE" w:rsidRPr="00C553A2">
        <w:rPr>
          <w:rFonts w:eastAsia="Calibri" w:cs="Arial"/>
          <w:color w:val="000000"/>
          <w:sz w:val="20"/>
        </w:rPr>
        <w:t>cross-divisional</w:t>
      </w:r>
      <w:r w:rsidRPr="00C553A2">
        <w:rPr>
          <w:rFonts w:eastAsia="Calibri" w:cs="Arial"/>
          <w:color w:val="000000"/>
          <w:sz w:val="20"/>
        </w:rPr>
        <w:t>,</w:t>
      </w:r>
      <w:r w:rsidR="00E649CE" w:rsidRPr="00C553A2">
        <w:rPr>
          <w:rFonts w:eastAsia="Calibri" w:cs="Arial"/>
          <w:color w:val="000000"/>
          <w:sz w:val="20"/>
        </w:rPr>
        <w:t xml:space="preserve"> </w:t>
      </w:r>
      <w:r w:rsidRPr="00C553A2">
        <w:rPr>
          <w:rFonts w:eastAsia="Calibri" w:cs="Arial"/>
          <w:color w:val="000000"/>
          <w:sz w:val="20"/>
        </w:rPr>
        <w:t>interagency</w:t>
      </w:r>
      <w:r w:rsidR="004B23EE" w:rsidRPr="00C553A2">
        <w:rPr>
          <w:rFonts w:eastAsia="Calibri" w:cs="Arial"/>
          <w:color w:val="000000"/>
          <w:sz w:val="20"/>
        </w:rPr>
        <w:t>, national</w:t>
      </w:r>
      <w:r w:rsidRPr="00C553A2">
        <w:rPr>
          <w:rFonts w:eastAsia="Calibri" w:cs="Arial"/>
          <w:color w:val="000000"/>
          <w:sz w:val="20"/>
        </w:rPr>
        <w:t xml:space="preserve"> and </w:t>
      </w:r>
      <w:r w:rsidR="00E649CE" w:rsidRPr="00C553A2">
        <w:rPr>
          <w:rFonts w:eastAsia="Calibri" w:cs="Arial"/>
          <w:color w:val="000000"/>
          <w:sz w:val="20"/>
        </w:rPr>
        <w:t>community consultation</w:t>
      </w:r>
      <w:r w:rsidRPr="00C553A2">
        <w:rPr>
          <w:rFonts w:eastAsia="Calibri" w:cs="Arial"/>
          <w:color w:val="000000"/>
          <w:sz w:val="20"/>
        </w:rPr>
        <w:t xml:space="preserve">. </w:t>
      </w:r>
    </w:p>
    <w:p w:rsidR="00266221" w:rsidRPr="00C553A2" w:rsidRDefault="00266221" w:rsidP="005044B7">
      <w:pPr>
        <w:pStyle w:val="ListParagraph"/>
        <w:numPr>
          <w:ilvl w:val="0"/>
          <w:numId w:val="24"/>
        </w:numPr>
        <w:spacing w:after="0" w:line="240" w:lineRule="auto"/>
        <w:ind w:left="284" w:right="142" w:hanging="284"/>
        <w:rPr>
          <w:rFonts w:eastAsia="Calibri" w:cs="Arial"/>
          <w:color w:val="000000"/>
          <w:sz w:val="20"/>
        </w:rPr>
      </w:pPr>
      <w:r w:rsidRPr="00C553A2">
        <w:rPr>
          <w:rFonts w:eastAsia="Calibri" w:cs="Arial"/>
          <w:color w:val="000000"/>
          <w:sz w:val="20"/>
        </w:rPr>
        <w:t xml:space="preserve">Lead </w:t>
      </w:r>
      <w:r w:rsidR="00E649CE" w:rsidRPr="00C553A2">
        <w:rPr>
          <w:rFonts w:eastAsia="Calibri" w:cs="Arial"/>
          <w:color w:val="000000"/>
          <w:sz w:val="20"/>
        </w:rPr>
        <w:t>and manage the strategic policy project team and key relations with Northern Territory Government stakeholders, advisory groups and department executive.</w:t>
      </w:r>
    </w:p>
    <w:p w:rsidR="004B23EE" w:rsidRPr="00C553A2" w:rsidRDefault="004B23EE" w:rsidP="005044B7">
      <w:pPr>
        <w:pStyle w:val="ListParagraph"/>
        <w:numPr>
          <w:ilvl w:val="0"/>
          <w:numId w:val="24"/>
        </w:numPr>
        <w:spacing w:after="0" w:line="240" w:lineRule="auto"/>
        <w:ind w:left="284" w:right="142" w:hanging="284"/>
        <w:rPr>
          <w:rFonts w:eastAsia="Calibri" w:cs="Arial"/>
          <w:color w:val="000000"/>
          <w:sz w:val="20"/>
        </w:rPr>
      </w:pPr>
      <w:r w:rsidRPr="00C553A2">
        <w:rPr>
          <w:rFonts w:eastAsia="Calibri" w:cs="Arial"/>
          <w:color w:val="000000"/>
          <w:sz w:val="20"/>
        </w:rPr>
        <w:t>Develop and maintain strong relationships with a broad range of identified stakeholders.</w:t>
      </w:r>
    </w:p>
    <w:p w:rsidR="00266221" w:rsidRPr="00C553A2" w:rsidRDefault="00266221" w:rsidP="005044B7">
      <w:pPr>
        <w:keepLines/>
        <w:spacing w:after="0" w:line="240" w:lineRule="auto"/>
        <w:ind w:left="284" w:right="140" w:hanging="284"/>
        <w:rPr>
          <w:rFonts w:cs="Arial"/>
          <w:bCs/>
          <w:iCs/>
          <w:color w:val="1F1F5F" w:themeColor="text1"/>
          <w:sz w:val="20"/>
          <w:u w:val="single"/>
          <w:lang w:val="en-GB"/>
        </w:rPr>
      </w:pPr>
    </w:p>
    <w:p w:rsidR="00266221" w:rsidRPr="00C553A2" w:rsidRDefault="00E24B73" w:rsidP="005044B7">
      <w:pPr>
        <w:spacing w:after="0" w:line="240" w:lineRule="auto"/>
        <w:ind w:left="284" w:right="140" w:hanging="284"/>
        <w:rPr>
          <w:rFonts w:cs="Arial"/>
          <w:bCs/>
          <w:iCs/>
          <w:color w:val="1F1F5F" w:themeColor="text1"/>
          <w:sz w:val="20"/>
          <w:lang w:val="en-GB"/>
        </w:rPr>
      </w:pPr>
      <w:r w:rsidRPr="00C553A2">
        <w:rPr>
          <w:rFonts w:cs="Arial"/>
          <w:bCs/>
          <w:iCs/>
          <w:color w:val="1F1F5F" w:themeColor="text1"/>
          <w:sz w:val="20"/>
          <w:lang w:val="en-GB"/>
        </w:rPr>
        <w:t>Selection Criteria</w:t>
      </w:r>
    </w:p>
    <w:p w:rsidR="00266221" w:rsidRPr="00C553A2" w:rsidRDefault="00E24B73" w:rsidP="005044B7">
      <w:pPr>
        <w:spacing w:after="0" w:line="240" w:lineRule="auto"/>
        <w:ind w:left="284" w:right="140" w:hanging="284"/>
        <w:rPr>
          <w:rFonts w:cs="Arial"/>
          <w:bCs/>
          <w:iCs/>
          <w:color w:val="1F1F5F" w:themeColor="text1"/>
          <w:sz w:val="20"/>
          <w:lang w:val="en-GB"/>
        </w:rPr>
      </w:pPr>
      <w:r w:rsidRPr="00C553A2">
        <w:rPr>
          <w:rFonts w:cs="Arial"/>
          <w:bCs/>
          <w:iCs/>
          <w:color w:val="1F1F5F" w:themeColor="text1"/>
          <w:sz w:val="20"/>
          <w:lang w:val="en-GB"/>
        </w:rPr>
        <w:t>Essential</w:t>
      </w:r>
    </w:p>
    <w:p w:rsidR="005B2B8B" w:rsidRPr="00C553A2" w:rsidRDefault="005B2B8B" w:rsidP="005044B7">
      <w:pPr>
        <w:pStyle w:val="ListParagraph"/>
        <w:numPr>
          <w:ilvl w:val="0"/>
          <w:numId w:val="25"/>
        </w:numPr>
        <w:spacing w:after="0" w:line="240" w:lineRule="auto"/>
        <w:ind w:left="284" w:right="142" w:hanging="284"/>
        <w:rPr>
          <w:rFonts w:cs="Arial"/>
          <w:sz w:val="20"/>
        </w:rPr>
      </w:pPr>
      <w:r w:rsidRPr="00C553A2">
        <w:rPr>
          <w:rFonts w:cs="Arial"/>
          <w:sz w:val="20"/>
        </w:rPr>
        <w:t>Demonstrated expertise and experience in developing and influencing strategic policy</w:t>
      </w:r>
      <w:r w:rsidRPr="00C553A2">
        <w:rPr>
          <w:rFonts w:eastAsia="Calibri" w:cs="Arial"/>
          <w:color w:val="000000"/>
          <w:sz w:val="20"/>
        </w:rPr>
        <w:t xml:space="preserve"> in complex social and economic policy contents.</w:t>
      </w:r>
    </w:p>
    <w:p w:rsidR="005B2B8B" w:rsidRPr="00C553A2" w:rsidRDefault="005B2B8B" w:rsidP="005044B7">
      <w:pPr>
        <w:pStyle w:val="ListParagraph"/>
        <w:numPr>
          <w:ilvl w:val="0"/>
          <w:numId w:val="25"/>
        </w:numPr>
        <w:spacing w:after="0" w:line="240" w:lineRule="auto"/>
        <w:ind w:left="284" w:right="142" w:hanging="284"/>
        <w:rPr>
          <w:rFonts w:cs="Arial"/>
          <w:sz w:val="20"/>
        </w:rPr>
      </w:pPr>
      <w:r w:rsidRPr="00C553A2">
        <w:rPr>
          <w:rFonts w:cs="Arial"/>
          <w:sz w:val="20"/>
        </w:rPr>
        <w:t xml:space="preserve">Superior strategic and operational leadership and management skills, with demonstrated experience leading highly performing teams through evidence-based research, critical analysis and provision of </w:t>
      </w:r>
      <w:proofErr w:type="gramStart"/>
      <w:r w:rsidRPr="00C553A2">
        <w:rPr>
          <w:rFonts w:cs="Arial"/>
          <w:sz w:val="20"/>
        </w:rPr>
        <w:t>high level</w:t>
      </w:r>
      <w:proofErr w:type="gramEnd"/>
      <w:r w:rsidRPr="00C553A2">
        <w:rPr>
          <w:rFonts w:cs="Arial"/>
          <w:sz w:val="20"/>
        </w:rPr>
        <w:t xml:space="preserve"> strategic policy advice, demonstrating strong conceptual and analytical skills.</w:t>
      </w:r>
    </w:p>
    <w:p w:rsidR="005B2B8B" w:rsidRPr="00C553A2" w:rsidRDefault="005B2B8B" w:rsidP="005044B7">
      <w:pPr>
        <w:pStyle w:val="ListParagraph"/>
        <w:numPr>
          <w:ilvl w:val="0"/>
          <w:numId w:val="25"/>
        </w:numPr>
        <w:spacing w:after="0" w:line="240" w:lineRule="auto"/>
        <w:ind w:left="284" w:right="142" w:hanging="284"/>
        <w:rPr>
          <w:rFonts w:eastAsia="Calibri" w:cs="Arial"/>
          <w:color w:val="000000"/>
          <w:sz w:val="20"/>
        </w:rPr>
      </w:pPr>
      <w:r w:rsidRPr="00C553A2">
        <w:rPr>
          <w:rFonts w:eastAsia="Calibri" w:cs="Arial"/>
          <w:color w:val="000000"/>
          <w:sz w:val="20"/>
        </w:rPr>
        <w:t>Astuteness in interpreting and managing social, political and organisational environments with the ability to create strategic alliances to build trust at all levels to inspire strategic reform.</w:t>
      </w:r>
    </w:p>
    <w:p w:rsidR="005B2B8B" w:rsidRPr="00C553A2" w:rsidRDefault="005B2B8B" w:rsidP="005044B7">
      <w:pPr>
        <w:pStyle w:val="ListParagraph"/>
        <w:numPr>
          <w:ilvl w:val="0"/>
          <w:numId w:val="25"/>
        </w:numPr>
        <w:spacing w:after="0" w:line="240" w:lineRule="auto"/>
        <w:ind w:left="284" w:hanging="284"/>
        <w:rPr>
          <w:rFonts w:eastAsia="Calibri" w:cs="Arial"/>
          <w:color w:val="000000"/>
          <w:sz w:val="20"/>
        </w:rPr>
      </w:pPr>
      <w:r w:rsidRPr="00C553A2">
        <w:rPr>
          <w:rFonts w:eastAsia="Calibri" w:cs="Arial"/>
          <w:color w:val="000000"/>
          <w:sz w:val="20"/>
        </w:rPr>
        <w:t>Highly developed communication skills with the ability to communicate appropriate, meaningful and accurate information and analysis to a wide variety of audiences.</w:t>
      </w:r>
    </w:p>
    <w:p w:rsidR="005B2B8B" w:rsidRPr="00C553A2" w:rsidRDefault="005B2B8B" w:rsidP="005044B7">
      <w:pPr>
        <w:pStyle w:val="ListParagraph"/>
        <w:numPr>
          <w:ilvl w:val="0"/>
          <w:numId w:val="25"/>
        </w:numPr>
        <w:spacing w:after="0" w:line="240" w:lineRule="auto"/>
        <w:ind w:left="284" w:hanging="284"/>
        <w:rPr>
          <w:rFonts w:eastAsia="Calibri" w:cs="Arial"/>
          <w:color w:val="000000"/>
          <w:sz w:val="20"/>
        </w:rPr>
      </w:pPr>
      <w:r w:rsidRPr="00C553A2">
        <w:rPr>
          <w:rFonts w:eastAsia="Calibri" w:cs="Arial"/>
          <w:color w:val="000000"/>
          <w:sz w:val="20"/>
        </w:rPr>
        <w:t>Demonstrated commitment to flexible, innovative and problem-solving approaches to all aspects of the job and the ability to work under pressure, with a ‘can-do’ attitude, including dealing with changing priorities and stringent deadlines.</w:t>
      </w:r>
    </w:p>
    <w:p w:rsidR="005B2B8B" w:rsidRPr="00C553A2" w:rsidRDefault="005B2B8B" w:rsidP="005044B7">
      <w:pPr>
        <w:pStyle w:val="ListParagraph"/>
        <w:numPr>
          <w:ilvl w:val="0"/>
          <w:numId w:val="0"/>
        </w:numPr>
        <w:spacing w:after="0" w:line="240" w:lineRule="auto"/>
        <w:ind w:left="284" w:hanging="284"/>
        <w:rPr>
          <w:rFonts w:eastAsia="Calibri" w:cs="Arial"/>
          <w:color w:val="000000"/>
          <w:sz w:val="20"/>
        </w:rPr>
      </w:pPr>
    </w:p>
    <w:p w:rsidR="004B23EE" w:rsidRPr="00C553A2" w:rsidRDefault="004B23EE" w:rsidP="005044B7">
      <w:pPr>
        <w:spacing w:after="0" w:line="240" w:lineRule="auto"/>
        <w:ind w:left="284" w:right="140" w:hanging="284"/>
        <w:rPr>
          <w:rFonts w:cs="Arial"/>
          <w:bCs/>
          <w:iCs/>
          <w:color w:val="1F1F5F" w:themeColor="text1"/>
          <w:sz w:val="20"/>
          <w:lang w:val="en-GB"/>
        </w:rPr>
      </w:pPr>
      <w:r w:rsidRPr="00C553A2">
        <w:rPr>
          <w:rFonts w:cs="Arial"/>
          <w:bCs/>
          <w:iCs/>
          <w:color w:val="1F1F5F" w:themeColor="text1"/>
          <w:sz w:val="20"/>
          <w:lang w:val="en-GB"/>
        </w:rPr>
        <w:t>Desirable</w:t>
      </w:r>
    </w:p>
    <w:p w:rsidR="009D5868" w:rsidRPr="00C553A2" w:rsidRDefault="009D5868" w:rsidP="005044B7">
      <w:pPr>
        <w:pStyle w:val="ListParagraph"/>
        <w:numPr>
          <w:ilvl w:val="0"/>
          <w:numId w:val="27"/>
        </w:numPr>
        <w:spacing w:after="0" w:line="240" w:lineRule="auto"/>
        <w:ind w:left="284" w:right="142" w:hanging="284"/>
        <w:rPr>
          <w:rFonts w:eastAsia="Calibri" w:cs="Arial"/>
          <w:color w:val="000000"/>
          <w:sz w:val="20"/>
        </w:rPr>
      </w:pPr>
      <w:r w:rsidRPr="00C553A2">
        <w:rPr>
          <w:rFonts w:cs="Arial"/>
          <w:color w:val="000000"/>
          <w:sz w:val="20"/>
        </w:rPr>
        <w:t>A sound understanding of education systems, including contemporary knowledge of education and early childhood sectors, and the strategic direction and objectives of the Department of Education and the Northern Territory Government.</w:t>
      </w:r>
    </w:p>
    <w:p w:rsidR="009D5868" w:rsidRPr="00C553A2" w:rsidRDefault="009D5868" w:rsidP="005044B7">
      <w:pPr>
        <w:spacing w:after="0" w:line="240" w:lineRule="auto"/>
        <w:ind w:left="284" w:right="140" w:hanging="284"/>
        <w:rPr>
          <w:rFonts w:cs="Arial"/>
          <w:bCs/>
          <w:iCs/>
          <w:color w:val="1F1F5F" w:themeColor="text1"/>
          <w:sz w:val="20"/>
          <w:lang w:val="en-GB"/>
        </w:rPr>
      </w:pPr>
    </w:p>
    <w:p w:rsidR="00E24B73" w:rsidRPr="00C553A2" w:rsidRDefault="00E24B73" w:rsidP="00A4490E">
      <w:pPr>
        <w:spacing w:after="0" w:line="240" w:lineRule="auto"/>
        <w:ind w:right="140"/>
        <w:rPr>
          <w:rFonts w:cs="Arial"/>
          <w:bCs/>
          <w:iCs/>
          <w:color w:val="1F1F5F" w:themeColor="text1"/>
          <w:sz w:val="20"/>
          <w:lang w:val="en-GB"/>
        </w:rPr>
      </w:pPr>
      <w:r w:rsidRPr="00C553A2">
        <w:rPr>
          <w:rFonts w:cs="Arial"/>
          <w:bCs/>
          <w:iCs/>
          <w:color w:val="1F1F5F" w:themeColor="text1"/>
          <w:sz w:val="20"/>
          <w:lang w:val="en-GB"/>
        </w:rPr>
        <w:t>Further Information</w:t>
      </w:r>
    </w:p>
    <w:p w:rsidR="00266221" w:rsidRPr="00C553A2" w:rsidRDefault="00266221" w:rsidP="00A4490E">
      <w:pPr>
        <w:spacing w:after="0" w:line="240" w:lineRule="auto"/>
        <w:ind w:right="140"/>
        <w:rPr>
          <w:b/>
          <w:bCs/>
          <w:iCs/>
          <w:sz w:val="20"/>
          <w:u w:val="single"/>
          <w:lang w:val="en-GB"/>
        </w:rPr>
      </w:pPr>
      <w:r w:rsidRPr="00C553A2">
        <w:rPr>
          <w:sz w:val="20"/>
        </w:rPr>
        <w:t>The successful applicant must have, or be in the process of obtaining, a current NT Working with Children clearance (Ochre Card).</w:t>
      </w:r>
    </w:p>
    <w:p w:rsidR="00FF578A" w:rsidRPr="00C553A2" w:rsidRDefault="00FF578A" w:rsidP="005044B7">
      <w:pPr>
        <w:tabs>
          <w:tab w:val="left" w:pos="5387"/>
        </w:tabs>
        <w:spacing w:after="0" w:line="240" w:lineRule="auto"/>
        <w:ind w:left="284" w:right="140" w:hanging="284"/>
        <w:rPr>
          <w:rFonts w:cs="Arial"/>
          <w:sz w:val="20"/>
        </w:rPr>
      </w:pPr>
    </w:p>
    <w:p w:rsidR="00B14257" w:rsidRPr="00C553A2" w:rsidRDefault="00266221" w:rsidP="005044B7">
      <w:pPr>
        <w:tabs>
          <w:tab w:val="clear" w:pos="4136"/>
          <w:tab w:val="left" w:pos="6379"/>
        </w:tabs>
        <w:spacing w:after="0" w:line="240" w:lineRule="auto"/>
        <w:ind w:left="284" w:right="140" w:hanging="284"/>
        <w:rPr>
          <w:rFonts w:cs="Arial"/>
          <w:color w:val="127CC0" w:themeColor="accent2"/>
          <w:sz w:val="20"/>
        </w:rPr>
      </w:pPr>
      <w:r w:rsidRPr="00C553A2">
        <w:rPr>
          <w:rFonts w:cs="Arial"/>
          <w:sz w:val="20"/>
        </w:rPr>
        <w:t xml:space="preserve">Approved: </w:t>
      </w:r>
      <w:r w:rsidR="005C7190" w:rsidRPr="00C553A2">
        <w:rPr>
          <w:rFonts w:cs="Arial"/>
          <w:sz w:val="20"/>
        </w:rPr>
        <w:t>Tuesday 23</w:t>
      </w:r>
      <w:r w:rsidRPr="00C553A2">
        <w:rPr>
          <w:rFonts w:cs="Arial"/>
          <w:sz w:val="20"/>
        </w:rPr>
        <w:t xml:space="preserve"> </w:t>
      </w:r>
      <w:r w:rsidR="00D5690B" w:rsidRPr="00C553A2">
        <w:rPr>
          <w:rFonts w:cs="Arial"/>
          <w:sz w:val="20"/>
        </w:rPr>
        <w:t>February 2021</w:t>
      </w:r>
      <w:r w:rsidR="004C6EC2" w:rsidRPr="00C553A2">
        <w:rPr>
          <w:rFonts w:cs="Arial"/>
          <w:sz w:val="20"/>
        </w:rPr>
        <w:t xml:space="preserve">                                                     </w:t>
      </w:r>
      <w:r w:rsidRPr="00C553A2">
        <w:rPr>
          <w:rFonts w:cs="Arial"/>
          <w:sz w:val="20"/>
        </w:rPr>
        <w:t>Gillian Sharkey, General Manager Strategic Services</w:t>
      </w:r>
    </w:p>
    <w:sectPr w:rsidR="00B14257" w:rsidRPr="00C553A2" w:rsidSect="00930B22">
      <w:headerReference w:type="default" r:id="rId13"/>
      <w:footerReference w:type="default" r:id="rId14"/>
      <w:headerReference w:type="first" r:id="rId15"/>
      <w:footerReference w:type="first" r:id="rId16"/>
      <w:pgSz w:w="11906" w:h="16838" w:code="9"/>
      <w:pgMar w:top="737" w:right="567" w:bottom="1418" w:left="567" w:header="284"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53" w:rsidRDefault="00FB3D53" w:rsidP="00EF0B77">
      <w:r>
        <w:separator/>
      </w:r>
    </w:p>
  </w:endnote>
  <w:endnote w:type="continuationSeparator" w:id="0">
    <w:p w:rsidR="00FB3D53" w:rsidRDefault="00FB3D53"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784A4B" w:rsidRDefault="00784A4B" w:rsidP="00EF0B77">
          <w:pPr>
            <w:rPr>
              <w:rStyle w:val="PageNumber"/>
              <w:b/>
            </w:rPr>
          </w:pPr>
          <w:r>
            <w:rPr>
              <w:rStyle w:val="PageNumber"/>
            </w:rPr>
            <w:t>Office of the Commissioner for Public Employment</w:t>
          </w:r>
        </w:p>
        <w:p w:rsidR="00CA36A0" w:rsidRDefault="00FB3D53"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9D5868">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9D5868">
            <w:rPr>
              <w:rStyle w:val="PageNumber"/>
              <w:noProof/>
            </w:rPr>
            <w:t>2</w:t>
          </w:r>
          <w:r w:rsidR="00784A4B" w:rsidRPr="00AC4488">
            <w:rPr>
              <w:rStyle w:val="PageNumber"/>
            </w:rPr>
            <w:fldChar w:fldCharType="end"/>
          </w:r>
        </w:p>
        <w:p w:rsidR="00784A4B" w:rsidRPr="00AC4488" w:rsidRDefault="00784A4B" w:rsidP="00EF0B77">
          <w:pPr>
            <w:rPr>
              <w:rStyle w:val="PageNumber"/>
            </w:rPr>
          </w:pPr>
        </w:p>
      </w:tc>
    </w:tr>
  </w:tbl>
  <w:p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Pr="003B2B94" w:rsidRDefault="00D15D88" w:rsidP="003B2B94">
    <w:pPr>
      <w:pStyle w:val="ListBullet"/>
      <w:numPr>
        <w:ilvl w:val="0"/>
        <w:numId w:val="0"/>
      </w:numPr>
      <w:rPr>
        <w:sz w:val="2"/>
      </w:rPr>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rsidTr="004D29D1">
      <w:trPr>
        <w:cantSplit/>
        <w:trHeight w:val="836"/>
      </w:trPr>
      <w:tc>
        <w:tcPr>
          <w:tcW w:w="7767" w:type="dxa"/>
          <w:vAlign w:val="bottom"/>
        </w:tcPr>
        <w:p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41542">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41542">
            <w:rPr>
              <w:rStyle w:val="PageNumber"/>
              <w:noProof/>
            </w:rPr>
            <w:t>1</w:t>
          </w:r>
          <w:r w:rsidRPr="00AC4488">
            <w:rPr>
              <w:rStyle w:val="PageNumber"/>
            </w:rPr>
            <w:fldChar w:fldCharType="end"/>
          </w:r>
        </w:p>
      </w:tc>
      <w:tc>
        <w:tcPr>
          <w:tcW w:w="3148" w:type="dxa"/>
          <w:vAlign w:val="bottom"/>
        </w:tcPr>
        <w:p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53" w:rsidRDefault="00FB3D53" w:rsidP="00EF0B77">
      <w:r>
        <w:separator/>
      </w:r>
    </w:p>
  </w:footnote>
  <w:footnote w:type="continuationSeparator" w:id="0">
    <w:p w:rsidR="00FB3D53" w:rsidRDefault="00FB3D53"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FB3D53"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ADA"/>
    <w:multiLevelType w:val="hybridMultilevel"/>
    <w:tmpl w:val="68E0D4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C4F5CA4"/>
    <w:multiLevelType w:val="hybridMultilevel"/>
    <w:tmpl w:val="9244E5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A4779F"/>
    <w:multiLevelType w:val="hybridMultilevel"/>
    <w:tmpl w:val="BBE284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120F37"/>
    <w:multiLevelType w:val="hybridMultilevel"/>
    <w:tmpl w:val="68E0D4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B2573F7"/>
    <w:multiLevelType w:val="hybridMultilevel"/>
    <w:tmpl w:val="484AB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3FE75271"/>
    <w:multiLevelType w:val="hybridMultilevel"/>
    <w:tmpl w:val="E528EA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BC10082"/>
    <w:multiLevelType w:val="hybridMultilevel"/>
    <w:tmpl w:val="56C408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4D877EC4"/>
    <w:multiLevelType w:val="hybridMultilevel"/>
    <w:tmpl w:val="D6425F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4EC34497"/>
    <w:multiLevelType w:val="hybridMultilevel"/>
    <w:tmpl w:val="50CCF6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53842BC6"/>
    <w:multiLevelType w:val="multilevel"/>
    <w:tmpl w:val="0C78A7AC"/>
    <w:numStyleLink w:val="Tablebulletlist"/>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73B543E7"/>
    <w:multiLevelType w:val="hybridMultilevel"/>
    <w:tmpl w:val="68E0D4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3E97DF9"/>
    <w:multiLevelType w:val="hybridMultilevel"/>
    <w:tmpl w:val="22C8A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8"/>
  </w:num>
  <w:num w:numId="3">
    <w:abstractNumId w:val="48"/>
  </w:num>
  <w:num w:numId="4">
    <w:abstractNumId w:val="31"/>
  </w:num>
  <w:num w:numId="5">
    <w:abstractNumId w:val="23"/>
  </w:num>
  <w:num w:numId="6">
    <w:abstractNumId w:val="14"/>
  </w:num>
  <w:num w:numId="7">
    <w:abstractNumId w:val="37"/>
  </w:num>
  <w:num w:numId="8">
    <w:abstractNumId w:val="21"/>
  </w:num>
  <w:num w:numId="9">
    <w:abstractNumId w:val="1"/>
  </w:num>
  <w:num w:numId="10">
    <w:abstractNumId w:val="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35"/>
  </w:num>
  <w:num w:numId="18">
    <w:abstractNumId w:val="12"/>
  </w:num>
  <w:num w:numId="19">
    <w:abstractNumId w:val="0"/>
  </w:num>
  <w:num w:numId="20">
    <w:abstractNumId w:val="36"/>
  </w:num>
  <w:num w:numId="21">
    <w:abstractNumId w:val="22"/>
  </w:num>
  <w:num w:numId="22">
    <w:abstractNumId w:val="45"/>
  </w:num>
  <w:num w:numId="23">
    <w:abstractNumId w:val="10"/>
  </w:num>
  <w:num w:numId="24">
    <w:abstractNumId w:val="29"/>
  </w:num>
  <w:num w:numId="25">
    <w:abstractNumId w:val="34"/>
  </w:num>
  <w:num w:numId="26">
    <w:abstractNumId w:val="32"/>
  </w:num>
  <w:num w:numId="2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258CA"/>
    <w:rsid w:val="00132658"/>
    <w:rsid w:val="00144126"/>
    <w:rsid w:val="00144725"/>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66221"/>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2CE3"/>
    <w:rsid w:val="003037F9"/>
    <w:rsid w:val="0030583E"/>
    <w:rsid w:val="00307FE1"/>
    <w:rsid w:val="003114EF"/>
    <w:rsid w:val="003116ED"/>
    <w:rsid w:val="003164BA"/>
    <w:rsid w:val="003258E6"/>
    <w:rsid w:val="00342283"/>
    <w:rsid w:val="00343A87"/>
    <w:rsid w:val="00344A36"/>
    <w:rsid w:val="003456F4"/>
    <w:rsid w:val="00347FB6"/>
    <w:rsid w:val="0035018D"/>
    <w:rsid w:val="003504FD"/>
    <w:rsid w:val="00350881"/>
    <w:rsid w:val="003574FB"/>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2B94"/>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23EE"/>
    <w:rsid w:val="004B35EA"/>
    <w:rsid w:val="004B69E4"/>
    <w:rsid w:val="004C27EC"/>
    <w:rsid w:val="004C6C39"/>
    <w:rsid w:val="004C6EC2"/>
    <w:rsid w:val="004D075F"/>
    <w:rsid w:val="004D1B76"/>
    <w:rsid w:val="004D29D1"/>
    <w:rsid w:val="004D344E"/>
    <w:rsid w:val="004D464A"/>
    <w:rsid w:val="004E019E"/>
    <w:rsid w:val="004E06EC"/>
    <w:rsid w:val="004E0A3F"/>
    <w:rsid w:val="004E2CB7"/>
    <w:rsid w:val="004F016A"/>
    <w:rsid w:val="00500F94"/>
    <w:rsid w:val="005027A9"/>
    <w:rsid w:val="00502FB3"/>
    <w:rsid w:val="00503DE9"/>
    <w:rsid w:val="005044B7"/>
    <w:rsid w:val="0050530C"/>
    <w:rsid w:val="00505DEA"/>
    <w:rsid w:val="00507782"/>
    <w:rsid w:val="00512A04"/>
    <w:rsid w:val="00520499"/>
    <w:rsid w:val="005249F5"/>
    <w:rsid w:val="005260F7"/>
    <w:rsid w:val="00536D3D"/>
    <w:rsid w:val="00542559"/>
    <w:rsid w:val="00543BD1"/>
    <w:rsid w:val="005558EA"/>
    <w:rsid w:val="00556113"/>
    <w:rsid w:val="005573A3"/>
    <w:rsid w:val="00564C12"/>
    <w:rsid w:val="005654B8"/>
    <w:rsid w:val="00570D94"/>
    <w:rsid w:val="005762CC"/>
    <w:rsid w:val="005821AC"/>
    <w:rsid w:val="00582D3D"/>
    <w:rsid w:val="00590040"/>
    <w:rsid w:val="00595386"/>
    <w:rsid w:val="00597234"/>
    <w:rsid w:val="005974AE"/>
    <w:rsid w:val="005A4AC0"/>
    <w:rsid w:val="005A539B"/>
    <w:rsid w:val="005A5FDF"/>
    <w:rsid w:val="005B0FB7"/>
    <w:rsid w:val="005B122A"/>
    <w:rsid w:val="005B1FCB"/>
    <w:rsid w:val="005B2B8B"/>
    <w:rsid w:val="005B5AC2"/>
    <w:rsid w:val="005C2833"/>
    <w:rsid w:val="005C7190"/>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B6BEE"/>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0EDC"/>
    <w:rsid w:val="0073182E"/>
    <w:rsid w:val="007332FF"/>
    <w:rsid w:val="007408F5"/>
    <w:rsid w:val="00741EAE"/>
    <w:rsid w:val="00755248"/>
    <w:rsid w:val="0076190B"/>
    <w:rsid w:val="0076355D"/>
    <w:rsid w:val="00763A2D"/>
    <w:rsid w:val="00765C2E"/>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D629D"/>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70C"/>
    <w:rsid w:val="008D7FAA"/>
    <w:rsid w:val="008E03FC"/>
    <w:rsid w:val="008E510B"/>
    <w:rsid w:val="008F61FA"/>
    <w:rsid w:val="00902B13"/>
    <w:rsid w:val="00903EEE"/>
    <w:rsid w:val="0090409B"/>
    <w:rsid w:val="00911941"/>
    <w:rsid w:val="009150F4"/>
    <w:rsid w:val="0092024D"/>
    <w:rsid w:val="009247F9"/>
    <w:rsid w:val="00925146"/>
    <w:rsid w:val="00925F0F"/>
    <w:rsid w:val="00930B22"/>
    <w:rsid w:val="00931448"/>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5868"/>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490E"/>
    <w:rsid w:val="00A45005"/>
    <w:rsid w:val="00A45CC7"/>
    <w:rsid w:val="00A567EE"/>
    <w:rsid w:val="00A63ACA"/>
    <w:rsid w:val="00A70DD8"/>
    <w:rsid w:val="00A76790"/>
    <w:rsid w:val="00A85D0C"/>
    <w:rsid w:val="00A925EC"/>
    <w:rsid w:val="00A929AA"/>
    <w:rsid w:val="00A92B6B"/>
    <w:rsid w:val="00AA541E"/>
    <w:rsid w:val="00AD0DA4"/>
    <w:rsid w:val="00AD4169"/>
    <w:rsid w:val="00AD61DC"/>
    <w:rsid w:val="00AE25C6"/>
    <w:rsid w:val="00AE306C"/>
    <w:rsid w:val="00AE532B"/>
    <w:rsid w:val="00AF274A"/>
    <w:rsid w:val="00AF28C1"/>
    <w:rsid w:val="00B02EF1"/>
    <w:rsid w:val="00B07C97"/>
    <w:rsid w:val="00B11C67"/>
    <w:rsid w:val="00B14257"/>
    <w:rsid w:val="00B15754"/>
    <w:rsid w:val="00B16002"/>
    <w:rsid w:val="00B2046E"/>
    <w:rsid w:val="00B20E8B"/>
    <w:rsid w:val="00B257E1"/>
    <w:rsid w:val="00B2599A"/>
    <w:rsid w:val="00B27AC4"/>
    <w:rsid w:val="00B343CC"/>
    <w:rsid w:val="00B45D6A"/>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C224E"/>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553A2"/>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3B0A"/>
    <w:rsid w:val="00CD5011"/>
    <w:rsid w:val="00CE640F"/>
    <w:rsid w:val="00CE76BC"/>
    <w:rsid w:val="00CF4AA4"/>
    <w:rsid w:val="00CF540E"/>
    <w:rsid w:val="00D02F07"/>
    <w:rsid w:val="00D15D88"/>
    <w:rsid w:val="00D20905"/>
    <w:rsid w:val="00D27D49"/>
    <w:rsid w:val="00D27EBE"/>
    <w:rsid w:val="00D33A65"/>
    <w:rsid w:val="00D36A49"/>
    <w:rsid w:val="00D41542"/>
    <w:rsid w:val="00D47DC7"/>
    <w:rsid w:val="00D517C6"/>
    <w:rsid w:val="00D5690B"/>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4B73"/>
    <w:rsid w:val="00E27D7B"/>
    <w:rsid w:val="00E30556"/>
    <w:rsid w:val="00E30981"/>
    <w:rsid w:val="00E31E14"/>
    <w:rsid w:val="00E33136"/>
    <w:rsid w:val="00E34D7C"/>
    <w:rsid w:val="00E3723D"/>
    <w:rsid w:val="00E44C89"/>
    <w:rsid w:val="00E457A6"/>
    <w:rsid w:val="00E5067F"/>
    <w:rsid w:val="00E54F9E"/>
    <w:rsid w:val="00E5575E"/>
    <w:rsid w:val="00E56F6A"/>
    <w:rsid w:val="00E61BA2"/>
    <w:rsid w:val="00E63864"/>
    <w:rsid w:val="00E6403F"/>
    <w:rsid w:val="00E649CE"/>
    <w:rsid w:val="00E75451"/>
    <w:rsid w:val="00E75EA9"/>
    <w:rsid w:val="00E76AD6"/>
    <w:rsid w:val="00E770C4"/>
    <w:rsid w:val="00E84C5A"/>
    <w:rsid w:val="00E861DB"/>
    <w:rsid w:val="00E908F1"/>
    <w:rsid w:val="00E93406"/>
    <w:rsid w:val="00E956C5"/>
    <w:rsid w:val="00E95C39"/>
    <w:rsid w:val="00EA2C39"/>
    <w:rsid w:val="00EA3543"/>
    <w:rsid w:val="00EA7C3B"/>
    <w:rsid w:val="00EB0807"/>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4A1F"/>
    <w:rsid w:val="00EF7859"/>
    <w:rsid w:val="00F014DA"/>
    <w:rsid w:val="00F02591"/>
    <w:rsid w:val="00F07B42"/>
    <w:rsid w:val="00F14433"/>
    <w:rsid w:val="00F24D96"/>
    <w:rsid w:val="00F264EA"/>
    <w:rsid w:val="00F30AE1"/>
    <w:rsid w:val="00F33D27"/>
    <w:rsid w:val="00F4205B"/>
    <w:rsid w:val="00F5696E"/>
    <w:rsid w:val="00F60EFF"/>
    <w:rsid w:val="00F67D2D"/>
    <w:rsid w:val="00F858F2"/>
    <w:rsid w:val="00F860CC"/>
    <w:rsid w:val="00F94398"/>
    <w:rsid w:val="00FB2B56"/>
    <w:rsid w:val="00FB3D53"/>
    <w:rsid w:val="00FB5407"/>
    <w:rsid w:val="00FB55D5"/>
    <w:rsid w:val="00FC0083"/>
    <w:rsid w:val="00FC12BF"/>
    <w:rsid w:val="00FC2C60"/>
    <w:rsid w:val="00FD3E6F"/>
    <w:rsid w:val="00FD51B9"/>
    <w:rsid w:val="00FD5849"/>
    <w:rsid w:val="00FE03E4"/>
    <w:rsid w:val="00FE198F"/>
    <w:rsid w:val="00FE2A39"/>
    <w:rsid w:val="00FF39CF"/>
    <w:rsid w:val="00FF578A"/>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99C7D"/>
  <w15:docId w15:val="{0B69BD7C-2E42-40CF-BC04-E8316CFD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numbering" w:customStyle="1" w:styleId="NTGStandardNumList">
    <w:name w:val="NTG Standard Num List"/>
    <w:uiPriority w:val="99"/>
    <w:rsid w:val="00266221"/>
    <w:pPr>
      <w:numPr>
        <w:numId w:val="17"/>
      </w:numPr>
    </w:pPr>
  </w:style>
  <w:style w:type="paragraph" w:customStyle="1" w:styleId="tabletext">
    <w:name w:val="table text"/>
    <w:qFormat/>
    <w:rsid w:val="00266221"/>
    <w:pPr>
      <w:tabs>
        <w:tab w:val="left" w:pos="4136"/>
      </w:tabs>
      <w:spacing w:after="0"/>
    </w:pPr>
    <w:rPr>
      <w:rFonts w:eastAsia="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special-meas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pe.nt.gov.au/employment-conditions-appeals-grievances/applying-for-and-filling-jobs/information-for-applican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jobs.nt.gov.au/Home/JobDetails?rtfId=20763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E112E"/>
    <w:rsid w:val="0021636C"/>
    <w:rsid w:val="00271128"/>
    <w:rsid w:val="002B0E17"/>
    <w:rsid w:val="002F5191"/>
    <w:rsid w:val="003808C4"/>
    <w:rsid w:val="00380ED1"/>
    <w:rsid w:val="003D3D12"/>
    <w:rsid w:val="004119D7"/>
    <w:rsid w:val="005054BB"/>
    <w:rsid w:val="00543B83"/>
    <w:rsid w:val="00566F47"/>
    <w:rsid w:val="00611EB4"/>
    <w:rsid w:val="006A6B3E"/>
    <w:rsid w:val="006D0FE8"/>
    <w:rsid w:val="00740510"/>
    <w:rsid w:val="007611DF"/>
    <w:rsid w:val="0079478A"/>
    <w:rsid w:val="00820D8D"/>
    <w:rsid w:val="008F5DF9"/>
    <w:rsid w:val="00910BC7"/>
    <w:rsid w:val="009705E7"/>
    <w:rsid w:val="00977B5D"/>
    <w:rsid w:val="00A0562C"/>
    <w:rsid w:val="00A442F3"/>
    <w:rsid w:val="00AB04C7"/>
    <w:rsid w:val="00AD765D"/>
    <w:rsid w:val="00C41D31"/>
    <w:rsid w:val="00CF6B1F"/>
    <w:rsid w:val="00DD07B1"/>
    <w:rsid w:val="00DD54C6"/>
    <w:rsid w:val="00DF5ED3"/>
    <w:rsid w:val="00E0742B"/>
    <w:rsid w:val="00F95FAE"/>
    <w:rsid w:val="00FB5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4C6"/>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 w:type="paragraph" w:customStyle="1" w:styleId="915392ED6359435EBCB8F1357FF18A98">
    <w:name w:val="915392ED6359435EBCB8F1357FF18A98"/>
    <w:rsid w:val="00DD54C6"/>
  </w:style>
  <w:style w:type="paragraph" w:customStyle="1" w:styleId="EDB7AEFDFD214115B6015D112A690A78">
    <w:name w:val="EDB7AEFDFD214115B6015D112A690A78"/>
    <w:rsid w:val="00DD54C6"/>
  </w:style>
  <w:style w:type="paragraph" w:customStyle="1" w:styleId="98EA0F4CEC6242CF8F418DF18F315B9A">
    <w:name w:val="98EA0F4CEC6242CF8F418DF18F315B9A"/>
    <w:rsid w:val="00DD54C6"/>
  </w:style>
  <w:style w:type="paragraph" w:customStyle="1" w:styleId="C5F1FDB54DC4482D8227D445880EAC48">
    <w:name w:val="C5F1FDB54DC4482D8227D445880EAC48"/>
    <w:rsid w:val="00DD54C6"/>
  </w:style>
  <w:style w:type="paragraph" w:customStyle="1" w:styleId="498005B1D511453781386792F71386C3">
    <w:name w:val="498005B1D511453781386792F71386C3"/>
    <w:rsid w:val="00DD54C6"/>
  </w:style>
  <w:style w:type="paragraph" w:customStyle="1" w:styleId="0D6BDA89DCD64D559E1AD232B3809C17">
    <w:name w:val="0D6BDA89DCD64D559E1AD232B3809C17"/>
    <w:rsid w:val="00DD54C6"/>
  </w:style>
  <w:style w:type="paragraph" w:customStyle="1" w:styleId="55287AB9DD8045C4A891EBB44451AE1D">
    <w:name w:val="55287AB9DD8045C4A891EBB44451AE1D"/>
    <w:rsid w:val="00DD54C6"/>
  </w:style>
  <w:style w:type="paragraph" w:customStyle="1" w:styleId="5DF6A7249ABC4B5281A6DF0013101171">
    <w:name w:val="5DF6A7249ABC4B5281A6DF0013101171"/>
    <w:rsid w:val="00DD54C6"/>
  </w:style>
  <w:style w:type="paragraph" w:customStyle="1" w:styleId="3AA8D9BE69254D1C82863E5448734726">
    <w:name w:val="3AA8D9BE69254D1C82863E5448734726"/>
    <w:rsid w:val="00DD54C6"/>
  </w:style>
  <w:style w:type="paragraph" w:customStyle="1" w:styleId="84DA64A25DBD468790113F0AB39CCAE3">
    <w:name w:val="84DA64A25DBD468790113F0AB39CCAE3"/>
    <w:rsid w:val="00DD5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73DEC-07AB-49F9-85A1-C8108C0A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OCPE</dc:creator>
  <cp:keywords/>
  <dc:description/>
  <cp:lastModifiedBy>Erin Vasquez</cp:lastModifiedBy>
  <cp:revision>15</cp:revision>
  <cp:lastPrinted>2021-02-22T00:24:00Z</cp:lastPrinted>
  <dcterms:created xsi:type="dcterms:W3CDTF">2021-02-23T04:42:00Z</dcterms:created>
  <dcterms:modified xsi:type="dcterms:W3CDTF">2021-02-23T05:28:00Z</dcterms:modified>
</cp:coreProperties>
</file>