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D" w:rsidRDefault="00612B13">
      <w:pPr>
        <w:rPr>
          <w:rFonts w:ascii="Arial" w:hAnsi="Arial" w:cs="Arial"/>
        </w:rPr>
      </w:pPr>
      <w:r>
        <w:rPr>
          <w:b/>
          <w:noProof/>
          <w:sz w:val="24"/>
          <w:szCs w:val="2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-707390</wp:posOffset>
            </wp:positionV>
            <wp:extent cx="2156460" cy="1129665"/>
            <wp:effectExtent l="0" t="0" r="0" b="0"/>
            <wp:wrapSquare wrapText="bothSides"/>
            <wp:docPr id="4" name="Picture 4" descr="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D" w:rsidRDefault="00A8163D">
      <w:pPr>
        <w:rPr>
          <w:rFonts w:ascii="Arial" w:hAnsi="Arial" w:cs="Arial"/>
        </w:rPr>
      </w:pPr>
    </w:p>
    <w:p w:rsidR="00A8163D" w:rsidRDefault="00EA6569">
      <w:pPr>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0" locked="0" layoutInCell="1" allowOverlap="1" wp14:anchorId="183D1504" wp14:editId="7A5C00A8">
                <wp:simplePos x="0" y="0"/>
                <wp:positionH relativeFrom="margin">
                  <wp:align>center</wp:align>
                </wp:positionH>
                <wp:positionV relativeFrom="paragraph">
                  <wp:posOffset>176530</wp:posOffset>
                </wp:positionV>
                <wp:extent cx="6686550" cy="390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686550" cy="3905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0;margin-top:13.9pt;width:526.5pt;height:30.75pt;z-index:25166028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" fillcolor="black [3200]" strokecolor="black [1600]" strokeweight="2pt">
                <w10:wrap anchorx="margin"/>
              </v:shape>
            </w:pict>
          </mc:Fallback>
        </mc:AlternateContent>
      </w:r>
      <w:r w:rsidR="005C69F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2952750"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D41" w:rsidRPr="00EA6569" w:rsidRDefault="00660D41"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9pt;width:232.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zewIAAGIFAAAOAAAAZHJzL2Uyb0RvYy54bWysVEtPGzEQvlfqf7B8L5sHgRKxQSmIqhIC&#10;VKg4O16brGp7XHuS3fTXd+zdDSnthaqX3fHM58/z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" filled="f" stroked="f" strokeweight=".5pt">
                <v:textbox>
                  <w:txbxContent>
                    <w:p w:rsidR="00660D41" w:rsidRPr="00EA6569" w:rsidRDefault="00660D41"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v:textbox>
                <w10:wrap anchorx="margin"/>
              </v:shape>
            </w:pict>
          </mc:Fallback>
        </mc:AlternateContent>
      </w:r>
    </w:p>
    <w:p w:rsidR="00A8163D" w:rsidRDefault="00A8163D">
      <w:pPr>
        <w:rPr>
          <w:rFonts w:ascii="Arial" w:hAnsi="Arial" w:cs="Arial"/>
        </w:rPr>
      </w:pPr>
    </w:p>
    <w:p w:rsidR="00E33E17" w:rsidRDefault="00E33E17" w:rsidP="00A8163D">
      <w:pPr>
        <w:jc w:val="center"/>
        <w:rPr>
          <w:rFonts w:ascii="Arial" w:hAnsi="Arial" w:cs="Arial"/>
          <w:b/>
          <w:sz w:val="36"/>
          <w:u w:val="single"/>
        </w:rPr>
      </w:pPr>
    </w:p>
    <w:p w:rsidR="007837D2" w:rsidRDefault="00E33E17" w:rsidP="007837D2">
      <w:pPr>
        <w:tabs>
          <w:tab w:val="left" w:pos="1559"/>
        </w:tabs>
        <w:rPr>
          <w:rFonts w:ascii="Calibri" w:hAnsi="Calibri" w:cs="Calibri"/>
          <w:b/>
          <w:sz w:val="28"/>
        </w:rPr>
      </w:pPr>
      <w:r w:rsidRPr="00E65BB0">
        <w:rPr>
          <w:rFonts w:ascii="Arial" w:hAnsi="Arial" w:cs="Arial"/>
          <w:b/>
          <w:sz w:val="24"/>
        </w:rPr>
        <w:t>JOB TITLE:</w:t>
      </w:r>
      <w:r w:rsidR="000E7E55" w:rsidRPr="00E65BB0">
        <w:rPr>
          <w:rFonts w:ascii="Arial" w:hAnsi="Arial" w:cs="Arial"/>
          <w:b/>
          <w:sz w:val="24"/>
        </w:rPr>
        <w:tab/>
      </w:r>
      <w:r w:rsidR="00E65BB0">
        <w:rPr>
          <w:rFonts w:ascii="Arial" w:hAnsi="Arial" w:cs="Arial"/>
          <w:b/>
          <w:sz w:val="28"/>
        </w:rPr>
        <w:tab/>
      </w:r>
      <w:r w:rsidR="007837D2">
        <w:rPr>
          <w:rFonts w:ascii="Calibri" w:hAnsi="Calibri" w:cs="Calibri"/>
          <w:b/>
          <w:sz w:val="28"/>
        </w:rPr>
        <w:t xml:space="preserve">Health and Social Care Assessor (Workplace Learning) </w:t>
      </w:r>
    </w:p>
    <w:p w:rsidR="00E33E17" w:rsidRDefault="00E33E17" w:rsidP="007837D2">
      <w:pPr>
        <w:tabs>
          <w:tab w:val="left" w:pos="1559"/>
        </w:tabs>
        <w:rPr>
          <w:rFonts w:ascii="Arial" w:hAnsi="Arial" w:cs="Arial"/>
          <w:b/>
          <w:sz w:val="24"/>
          <w:szCs w:val="24"/>
        </w:rPr>
      </w:pPr>
      <w:r w:rsidRPr="00E65BB0">
        <w:rPr>
          <w:rFonts w:ascii="Arial" w:hAnsi="Arial" w:cs="Arial"/>
          <w:b/>
          <w:sz w:val="24"/>
        </w:rPr>
        <w:t>GRADE:</w:t>
      </w:r>
      <w:r w:rsidR="00E65BB0" w:rsidRPr="00E65BB0">
        <w:rPr>
          <w:rFonts w:ascii="Arial" w:hAnsi="Arial" w:cs="Arial"/>
          <w:b/>
          <w:sz w:val="24"/>
        </w:rPr>
        <w:tab/>
      </w:r>
      <w:r w:rsidR="00E65BB0">
        <w:rPr>
          <w:rFonts w:ascii="Arial" w:hAnsi="Arial" w:cs="Arial"/>
          <w:b/>
          <w:sz w:val="28"/>
        </w:rPr>
        <w:tab/>
      </w:r>
      <w:r w:rsidR="007837D2">
        <w:rPr>
          <w:rFonts w:ascii="Arial" w:hAnsi="Arial" w:cs="Arial"/>
          <w:b/>
          <w:sz w:val="24"/>
          <w:szCs w:val="24"/>
        </w:rPr>
        <w:t>£23,432 - £26,031 (Sessional £14.23 to £16.30)</w:t>
      </w:r>
    </w:p>
    <w:p w:rsidR="00E65BB0" w:rsidRDefault="00E65BB0" w:rsidP="00E33E17">
      <w:pPr>
        <w:rPr>
          <w:rFonts w:ascii="Arial" w:hAnsi="Arial" w:cs="Arial"/>
          <w:b/>
          <w:sz w:val="24"/>
          <w:szCs w:val="24"/>
        </w:rPr>
      </w:pPr>
    </w:p>
    <w:p w:rsidR="00A41455" w:rsidRDefault="00EA6569" w:rsidP="00EA6569">
      <w:pPr>
        <w:ind w:left="-993" w:right="-897" w:firstLine="993"/>
        <w:rPr>
          <w:rFonts w:ascii="Arial" w:hAnsi="Arial" w:cs="Arial"/>
          <w:b/>
          <w:sz w:val="24"/>
          <w:szCs w:val="24"/>
        </w:rPr>
      </w:pPr>
      <w:r w:rsidRPr="003D3B8A">
        <w:rPr>
          <w:rFonts w:ascii="Arial" w:hAnsi="Arial" w:cs="Arial"/>
          <w:b/>
          <w:sz w:val="24"/>
          <w:szCs w:val="24"/>
        </w:rPr>
        <w:t>Summary of Position</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Assessment and delivery of Workplace learning programmes (sector based) to ensure high quality learning and training for learners on Government Funded Learning Programmes</w:t>
      </w:r>
    </w:p>
    <w:p w:rsidR="007837D2" w:rsidRPr="007837D2" w:rsidRDefault="005C69FB" w:rsidP="007837D2">
      <w:pPr>
        <w:ind w:left="-993" w:right="-897" w:firstLine="993"/>
        <w:rPr>
          <w:rFonts w:ascii="Arial" w:hAnsi="Arial" w:cs="Arial"/>
          <w:b/>
          <w:sz w:val="24"/>
          <w:szCs w:val="24"/>
        </w:rPr>
      </w:pPr>
      <w:r w:rsidRPr="003D3B8A">
        <w:rPr>
          <w:rFonts w:ascii="Arial" w:hAnsi="Arial" w:cs="Arial"/>
          <w:b/>
          <w:sz w:val="24"/>
          <w:szCs w:val="24"/>
        </w:rPr>
        <w:tab/>
      </w:r>
    </w:p>
    <w:p w:rsidR="007837D2" w:rsidRPr="007837D2" w:rsidRDefault="007837D2" w:rsidP="007837D2">
      <w:pPr>
        <w:spacing w:after="0" w:line="240" w:lineRule="auto"/>
        <w:ind w:left="3600" w:hanging="3600"/>
        <w:rPr>
          <w:rFonts w:eastAsiaTheme="minorEastAsia" w:cs="Calibri"/>
          <w:b/>
          <w:bCs/>
          <w:sz w:val="24"/>
          <w:szCs w:val="24"/>
        </w:rPr>
      </w:pPr>
      <w:r w:rsidRPr="007837D2">
        <w:rPr>
          <w:rFonts w:eastAsiaTheme="minorEastAsia" w:cs="Calibri"/>
          <w:b/>
          <w:bCs/>
          <w:sz w:val="24"/>
          <w:szCs w:val="24"/>
        </w:rPr>
        <w:t>MAIN DUTIES AND RESPONSIBILITIES TO INCLUDE:-</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Interviewing, recruitment and initial assessment of prospective learners in line with SFA contract allocations.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Developing individual learning programmes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Organising and delivering induction programmes.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Continually reviewing/monitoring le</w:t>
      </w:r>
      <w:r>
        <w:rPr>
          <w:rFonts w:eastAsiaTheme="minorEastAsia" w:cs="Calibri"/>
          <w:sz w:val="24"/>
          <w:szCs w:val="24"/>
        </w:rPr>
        <w:t xml:space="preserve">arners on learning programmes. </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Completion of HASP forms for every workplace</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Liaison with Shropshire Youth and other partners to support learners.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Visiting learners and supervisors at the workplace to monitor progress and complete appropriate assessments.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Completing all necessary administration tasks by specified deadlines.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Maintaining records of students’ progress using E-Assessment software.</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Using appropriate software to monitor E-portfolios.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Liaison with relevant organisations and attendance at appropriate meetings.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Delivery of QCF underpinning knowledge and relevant technical certificates.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To liaise with Head of Department regarding delivering of practical instruction to learners on full time programmes.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 xml:space="preserve">To liaise with Head of Department regarding assessment of students’ work and the provision of constructive feedback.   </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Delivery of Functional Skills as appropriate.</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Achievement of timely and overall completion to ensure above benchmark success rates.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Monitoring of programme key performance indicators.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Maintaining a viable caseload.</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Liaison with the Workplace Learning Manager to follow-up sales leads.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Marketing and promotion of all college activities.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ascii="Calibri" w:eastAsiaTheme="minorEastAsia" w:hAnsi="Calibri" w:cs="Calibri"/>
          <w:sz w:val="24"/>
          <w:szCs w:val="24"/>
        </w:rPr>
        <w:lastRenderedPageBreak/>
        <w:t>Undertaking any other duties commensurate with the post as requested by your line manager</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 xml:space="preserve">The </w:t>
      </w:r>
      <w:proofErr w:type="spellStart"/>
      <w:r w:rsidRPr="007837D2">
        <w:rPr>
          <w:rFonts w:eastAsiaTheme="minorEastAsia" w:cs="Calibri"/>
          <w:sz w:val="24"/>
          <w:szCs w:val="24"/>
        </w:rPr>
        <w:t>postholder</w:t>
      </w:r>
      <w:proofErr w:type="spellEnd"/>
      <w:r w:rsidRPr="007837D2">
        <w:rPr>
          <w:rFonts w:eastAsiaTheme="minorEastAsia" w:cs="Calibri"/>
          <w:sz w:val="24"/>
          <w:szCs w:val="24"/>
        </w:rPr>
        <w:t xml:space="preserve">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A Disclosure check with t</w:t>
      </w:r>
      <w:r>
        <w:rPr>
          <w:rFonts w:eastAsiaTheme="minorEastAsia" w:cs="Calibri"/>
          <w:sz w:val="24"/>
          <w:szCs w:val="24"/>
        </w:rPr>
        <w:t>he Disclosure and Barring Service will be</w:t>
      </w:r>
      <w:r w:rsidRPr="007837D2">
        <w:rPr>
          <w:rFonts w:eastAsiaTheme="minorEastAsia" w:cs="Calibri"/>
          <w:sz w:val="24"/>
          <w:szCs w:val="24"/>
        </w:rPr>
        <w:t xml:space="preserve"> a requirement of employment.  Please note that a record of a conviction may not automatically prevent a candidate from receiving an unconditional offer of employment.</w:t>
      </w:r>
      <w:bookmarkStart w:id="0" w:name="_GoBack"/>
      <w:bookmarkEnd w:id="0"/>
    </w:p>
    <w:p w:rsid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b/>
          <w:bCs/>
          <w:sz w:val="24"/>
          <w:szCs w:val="24"/>
        </w:rPr>
      </w:pPr>
      <w:r w:rsidRPr="007837D2">
        <w:rPr>
          <w:rFonts w:eastAsiaTheme="minorEastAsia" w:cs="Calibri"/>
          <w:b/>
          <w:bCs/>
          <w:sz w:val="24"/>
          <w:szCs w:val="24"/>
        </w:rPr>
        <w:t>PERSON SPECIFICATION</w:t>
      </w:r>
    </w:p>
    <w:p w:rsidR="007837D2" w:rsidRPr="007837D2" w:rsidRDefault="007837D2" w:rsidP="007837D2">
      <w:pPr>
        <w:spacing w:after="0" w:line="240" w:lineRule="auto"/>
        <w:rPr>
          <w:rFonts w:eastAsiaTheme="minorEastAsia" w:cs="Calibri"/>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3686"/>
        <w:gridCol w:w="3543"/>
      </w:tblGrid>
      <w:tr w:rsidR="007837D2" w:rsidRPr="007837D2" w:rsidTr="00C22D9F">
        <w:tc>
          <w:tcPr>
            <w:tcW w:w="2518" w:type="dxa"/>
            <w:tcBorders>
              <w:top w:val="single" w:sz="12" w:space="0" w:color="auto"/>
            </w:tcBorders>
          </w:tcPr>
          <w:p w:rsidR="007837D2" w:rsidRPr="007837D2" w:rsidRDefault="007837D2" w:rsidP="007837D2">
            <w:pPr>
              <w:spacing w:after="0" w:line="240" w:lineRule="auto"/>
              <w:rPr>
                <w:rFonts w:eastAsiaTheme="minorEastAsia" w:cs="Calibri"/>
                <w:sz w:val="24"/>
                <w:szCs w:val="24"/>
              </w:rPr>
            </w:pPr>
          </w:p>
        </w:tc>
        <w:tc>
          <w:tcPr>
            <w:tcW w:w="3686" w:type="dxa"/>
            <w:tcBorders>
              <w:top w:val="single" w:sz="12" w:space="0" w:color="auto"/>
            </w:tcBorders>
          </w:tcPr>
          <w:p w:rsidR="007837D2" w:rsidRPr="007837D2" w:rsidRDefault="007837D2" w:rsidP="007837D2">
            <w:pPr>
              <w:keepNext/>
              <w:spacing w:after="0" w:line="240" w:lineRule="auto"/>
              <w:outlineLvl w:val="4"/>
              <w:rPr>
                <w:rFonts w:eastAsiaTheme="minorEastAsia" w:cs="Calibri"/>
                <w:b/>
                <w:bCs/>
                <w:sz w:val="24"/>
                <w:szCs w:val="24"/>
              </w:rPr>
            </w:pPr>
            <w:r w:rsidRPr="007837D2">
              <w:rPr>
                <w:rFonts w:eastAsiaTheme="minorEastAsia" w:cs="Calibri"/>
                <w:b/>
                <w:bCs/>
                <w:sz w:val="24"/>
                <w:szCs w:val="24"/>
              </w:rPr>
              <w:t xml:space="preserve">ESSENTIAL </w:t>
            </w:r>
          </w:p>
        </w:tc>
        <w:tc>
          <w:tcPr>
            <w:tcW w:w="3543" w:type="dxa"/>
            <w:tcBorders>
              <w:top w:val="single" w:sz="12" w:space="0" w:color="auto"/>
            </w:tcBorders>
          </w:tcPr>
          <w:p w:rsidR="007837D2" w:rsidRPr="007837D2" w:rsidRDefault="007837D2" w:rsidP="007837D2">
            <w:pPr>
              <w:keepNext/>
              <w:spacing w:after="0" w:line="240" w:lineRule="auto"/>
              <w:outlineLvl w:val="4"/>
              <w:rPr>
                <w:rFonts w:eastAsiaTheme="minorEastAsia" w:cs="Calibri"/>
                <w:b/>
                <w:bCs/>
                <w:sz w:val="24"/>
                <w:szCs w:val="24"/>
              </w:rPr>
            </w:pPr>
            <w:r w:rsidRPr="007837D2">
              <w:rPr>
                <w:rFonts w:eastAsiaTheme="minorEastAsia" w:cs="Calibri"/>
                <w:b/>
                <w:bCs/>
                <w:sz w:val="24"/>
                <w:szCs w:val="24"/>
              </w:rPr>
              <w:t>DESIRABLE</w:t>
            </w:r>
          </w:p>
        </w:tc>
      </w:tr>
      <w:tr w:rsidR="007837D2" w:rsidRPr="007837D2" w:rsidTr="00C22D9F">
        <w:tc>
          <w:tcPr>
            <w:tcW w:w="2518" w:type="dxa"/>
          </w:tcPr>
          <w:p w:rsidR="007837D2" w:rsidRPr="007837D2" w:rsidRDefault="007837D2" w:rsidP="007837D2">
            <w:pPr>
              <w:spacing w:after="0" w:line="240" w:lineRule="auto"/>
              <w:rPr>
                <w:rFonts w:eastAsiaTheme="minorEastAsia" w:cs="Calibri"/>
                <w:b/>
                <w:bCs/>
                <w:sz w:val="24"/>
                <w:szCs w:val="24"/>
              </w:rPr>
            </w:pPr>
            <w:r w:rsidRPr="007837D2">
              <w:rPr>
                <w:rFonts w:eastAsiaTheme="minorEastAsia" w:cs="Calibri"/>
                <w:b/>
                <w:bCs/>
                <w:sz w:val="24"/>
                <w:szCs w:val="24"/>
              </w:rPr>
              <w:t xml:space="preserve">QUALIFICATIONS </w:t>
            </w:r>
          </w:p>
        </w:tc>
        <w:tc>
          <w:tcPr>
            <w:tcW w:w="3686" w:type="dxa"/>
          </w:tcPr>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Appropriate subject based qualification at least one level above the highest level to be assessed.</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A1 Award</w:t>
            </w:r>
          </w:p>
          <w:p w:rsidR="007837D2" w:rsidRPr="007837D2" w:rsidRDefault="007837D2" w:rsidP="007837D2">
            <w:pPr>
              <w:spacing w:after="0" w:line="240" w:lineRule="auto"/>
              <w:rPr>
                <w:rFonts w:eastAsiaTheme="minorEastAsia" w:cs="Calibri"/>
                <w:sz w:val="24"/>
                <w:szCs w:val="24"/>
              </w:rPr>
            </w:pPr>
          </w:p>
        </w:tc>
        <w:tc>
          <w:tcPr>
            <w:tcW w:w="3543" w:type="dxa"/>
          </w:tcPr>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Leadership qualification.</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V1 Award</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p>
        </w:tc>
      </w:tr>
      <w:tr w:rsidR="007837D2" w:rsidRPr="007837D2" w:rsidTr="00C22D9F">
        <w:tc>
          <w:tcPr>
            <w:tcW w:w="2518" w:type="dxa"/>
          </w:tcPr>
          <w:p w:rsidR="007837D2" w:rsidRPr="007837D2" w:rsidRDefault="007837D2" w:rsidP="007837D2">
            <w:pPr>
              <w:keepNext/>
              <w:spacing w:after="0" w:line="240" w:lineRule="auto"/>
              <w:outlineLvl w:val="4"/>
              <w:rPr>
                <w:rFonts w:ascii="Calibri" w:eastAsiaTheme="minorEastAsia" w:hAnsi="Calibri" w:cs="Calibri"/>
                <w:b/>
                <w:bCs/>
                <w:sz w:val="24"/>
                <w:szCs w:val="24"/>
              </w:rPr>
            </w:pPr>
            <w:r w:rsidRPr="007837D2">
              <w:rPr>
                <w:rFonts w:ascii="Calibri" w:eastAsiaTheme="minorEastAsia" w:hAnsi="Calibri" w:cs="Calibri"/>
                <w:b/>
                <w:sz w:val="24"/>
                <w:szCs w:val="24"/>
              </w:rPr>
              <w:t>EXPERIENCE</w:t>
            </w:r>
          </w:p>
        </w:tc>
        <w:tc>
          <w:tcPr>
            <w:tcW w:w="3686" w:type="dxa"/>
          </w:tcPr>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Specialist knowledge within the appropriate sector and related subjects.</w:t>
            </w:r>
          </w:p>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At least 3 years’ experience in a related Industry.</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p>
        </w:tc>
        <w:tc>
          <w:tcPr>
            <w:tcW w:w="3543" w:type="dxa"/>
          </w:tcPr>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Leadership of a Workplace Learning sector team.</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Experience of delivering high quality workplace learning.</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Experience of E-Assessment.</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Delivery of E-Learning.</w:t>
            </w:r>
          </w:p>
          <w:p w:rsidR="007837D2" w:rsidRPr="007837D2" w:rsidRDefault="007837D2" w:rsidP="007837D2">
            <w:pPr>
              <w:spacing w:after="0" w:line="240" w:lineRule="auto"/>
              <w:rPr>
                <w:rFonts w:ascii="Calibri" w:eastAsiaTheme="minorEastAsia" w:hAnsi="Calibri" w:cs="Calibri"/>
                <w:sz w:val="24"/>
                <w:szCs w:val="24"/>
              </w:rPr>
            </w:pPr>
          </w:p>
        </w:tc>
      </w:tr>
      <w:tr w:rsidR="007837D2" w:rsidRPr="007837D2" w:rsidTr="00C22D9F">
        <w:tc>
          <w:tcPr>
            <w:tcW w:w="2518" w:type="dxa"/>
            <w:tcBorders>
              <w:bottom w:val="single" w:sz="12" w:space="0" w:color="auto"/>
            </w:tcBorders>
          </w:tcPr>
          <w:p w:rsidR="007837D2" w:rsidRPr="007837D2" w:rsidRDefault="007837D2" w:rsidP="007837D2">
            <w:pPr>
              <w:spacing w:after="0" w:line="240" w:lineRule="auto"/>
              <w:rPr>
                <w:rFonts w:eastAsiaTheme="minorEastAsia" w:cs="Calibri"/>
                <w:b/>
                <w:bCs/>
                <w:sz w:val="24"/>
                <w:szCs w:val="24"/>
              </w:rPr>
            </w:pPr>
            <w:r w:rsidRPr="007837D2">
              <w:rPr>
                <w:rFonts w:eastAsiaTheme="minorEastAsia" w:cs="Calibri"/>
                <w:b/>
                <w:bCs/>
                <w:sz w:val="24"/>
                <w:szCs w:val="24"/>
              </w:rPr>
              <w:t>ABILITIES, SKILLS AND COMPETENCIES</w:t>
            </w:r>
          </w:p>
          <w:p w:rsidR="007837D2" w:rsidRPr="007837D2" w:rsidRDefault="007837D2" w:rsidP="007837D2">
            <w:pPr>
              <w:spacing w:after="0" w:line="240" w:lineRule="auto"/>
              <w:rPr>
                <w:rFonts w:eastAsiaTheme="minorEastAsia" w:cs="Calibri"/>
                <w:b/>
                <w:bCs/>
                <w:sz w:val="24"/>
                <w:szCs w:val="24"/>
              </w:rPr>
            </w:pPr>
          </w:p>
        </w:tc>
        <w:tc>
          <w:tcPr>
            <w:tcW w:w="3686" w:type="dxa"/>
            <w:tcBorders>
              <w:bottom w:val="single" w:sz="12" w:space="0" w:color="auto"/>
            </w:tcBorders>
          </w:tcPr>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Excellent IT skills (ability to work with a range of software).</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Excellent administration and organisational skills.</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Excellent communication skills.</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Ability to work under pressure and to tight deadlines.</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Must have current driving licence and use of own car.</w:t>
            </w:r>
          </w:p>
          <w:p w:rsidR="007837D2" w:rsidRPr="007837D2" w:rsidRDefault="007837D2" w:rsidP="007837D2">
            <w:pPr>
              <w:spacing w:after="0" w:line="240" w:lineRule="auto"/>
              <w:rPr>
                <w:rFonts w:ascii="Calibri" w:eastAsiaTheme="minorEastAsia" w:hAnsi="Calibri" w:cs="Calibri"/>
                <w:sz w:val="24"/>
                <w:szCs w:val="24"/>
              </w:rPr>
            </w:pPr>
          </w:p>
        </w:tc>
        <w:tc>
          <w:tcPr>
            <w:tcW w:w="3543" w:type="dxa"/>
            <w:tcBorders>
              <w:bottom w:val="single" w:sz="12" w:space="0" w:color="auto"/>
            </w:tcBorders>
          </w:tcPr>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The ability to identify opportunities for growth.</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To grow enrolment within Workplace Learning.</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Knowledge of Skills Funding Agency contracts and funding.</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 xml:space="preserve">Knowledge of the Ofsted Common Inspection </w:t>
            </w:r>
            <w:proofErr w:type="gramStart"/>
            <w:r w:rsidRPr="007837D2">
              <w:rPr>
                <w:rFonts w:ascii="Calibri" w:eastAsiaTheme="minorEastAsia" w:hAnsi="Calibri" w:cs="Calibri"/>
                <w:sz w:val="24"/>
                <w:szCs w:val="24"/>
              </w:rPr>
              <w:t>Framework  and</w:t>
            </w:r>
            <w:proofErr w:type="gramEnd"/>
            <w:r w:rsidRPr="007837D2">
              <w:rPr>
                <w:rFonts w:ascii="Calibri" w:eastAsiaTheme="minorEastAsia" w:hAnsi="Calibri" w:cs="Calibri"/>
                <w:sz w:val="24"/>
                <w:szCs w:val="24"/>
              </w:rPr>
              <w:t xml:space="preserve"> its impact on Workplace Learning.</w:t>
            </w:r>
          </w:p>
          <w:p w:rsidR="007837D2" w:rsidRPr="007837D2" w:rsidRDefault="007837D2" w:rsidP="007837D2">
            <w:pPr>
              <w:spacing w:after="0" w:line="240" w:lineRule="auto"/>
              <w:rPr>
                <w:rFonts w:eastAsiaTheme="minorEastAsia" w:cs="Calibri"/>
                <w:sz w:val="24"/>
                <w:szCs w:val="24"/>
              </w:rPr>
            </w:pPr>
          </w:p>
        </w:tc>
      </w:tr>
    </w:tbl>
    <w:p w:rsidR="00D111F6" w:rsidRPr="00A8163D" w:rsidRDefault="00D111F6">
      <w:pPr>
        <w:rPr>
          <w:rFonts w:ascii="Arial" w:hAnsi="Arial" w:cs="Arial"/>
        </w:rPr>
      </w:pPr>
    </w:p>
    <w:sectPr w:rsidR="00D111F6" w:rsidRPr="00A8163D" w:rsidSect="00E33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41" w:rsidRDefault="00660D41" w:rsidP="00A8163D">
      <w:pPr>
        <w:spacing w:after="0" w:line="240" w:lineRule="auto"/>
      </w:pPr>
      <w:r>
        <w:separator/>
      </w:r>
    </w:p>
  </w:endnote>
  <w:endnote w:type="continuationSeparator" w:id="0">
    <w:p w:rsidR="00660D41" w:rsidRDefault="00660D41" w:rsidP="00A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41" w:rsidRDefault="00660D41" w:rsidP="00A8163D">
      <w:pPr>
        <w:spacing w:after="0" w:line="240" w:lineRule="auto"/>
      </w:pPr>
      <w:r>
        <w:separator/>
      </w:r>
    </w:p>
  </w:footnote>
  <w:footnote w:type="continuationSeparator" w:id="0">
    <w:p w:rsidR="00660D41" w:rsidRDefault="00660D41" w:rsidP="00A8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8F"/>
    <w:multiLevelType w:val="hybridMultilevel"/>
    <w:tmpl w:val="90AC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51A9D"/>
    <w:multiLevelType w:val="hybridMultilevel"/>
    <w:tmpl w:val="981C1122"/>
    <w:lvl w:ilvl="0" w:tplc="0409000F">
      <w:start w:val="1"/>
      <w:numFmt w:val="decimal"/>
      <w:lvlText w:val="%1."/>
      <w:lvlJc w:val="left"/>
      <w:pPr>
        <w:tabs>
          <w:tab w:val="num" w:pos="720"/>
        </w:tabs>
        <w:ind w:left="720" w:hanging="360"/>
      </w:pPr>
      <w:rPr>
        <w:rFonts w:ascii="Times New Roman" w:hAnsi="Times New Roman" w:cs="Times New Roman"/>
      </w:rPr>
    </w:lvl>
    <w:lvl w:ilvl="1" w:tplc="08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223355"/>
    <w:multiLevelType w:val="hybridMultilevel"/>
    <w:tmpl w:val="1C704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05664"/>
    <w:multiLevelType w:val="hybridMultilevel"/>
    <w:tmpl w:val="218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24C9A"/>
    <w:multiLevelType w:val="hybridMultilevel"/>
    <w:tmpl w:val="E12E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3455A"/>
    <w:multiLevelType w:val="hybridMultilevel"/>
    <w:tmpl w:val="9E641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EC11D7"/>
    <w:multiLevelType w:val="hybridMultilevel"/>
    <w:tmpl w:val="44CC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17069B"/>
    <w:multiLevelType w:val="hybridMultilevel"/>
    <w:tmpl w:val="15E8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58348E"/>
    <w:multiLevelType w:val="hybridMultilevel"/>
    <w:tmpl w:val="C84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31031"/>
    <w:multiLevelType w:val="hybridMultilevel"/>
    <w:tmpl w:val="BF1C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663B64"/>
    <w:multiLevelType w:val="hybridMultilevel"/>
    <w:tmpl w:val="FB685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EA013C"/>
    <w:multiLevelType w:val="hybridMultilevel"/>
    <w:tmpl w:val="EFDA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3A126A"/>
    <w:multiLevelType w:val="hybridMultilevel"/>
    <w:tmpl w:val="584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C94593"/>
    <w:multiLevelType w:val="hybridMultilevel"/>
    <w:tmpl w:val="AEA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9949D8"/>
    <w:multiLevelType w:val="hybridMultilevel"/>
    <w:tmpl w:val="2E5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63380"/>
    <w:multiLevelType w:val="hybridMultilevel"/>
    <w:tmpl w:val="DCC2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D7776"/>
    <w:multiLevelType w:val="hybridMultilevel"/>
    <w:tmpl w:val="8C1816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6712AC"/>
    <w:multiLevelType w:val="hybridMultilevel"/>
    <w:tmpl w:val="19FC4C2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8">
    <w:nsid w:val="75EB7EFA"/>
    <w:multiLevelType w:val="hybridMultilevel"/>
    <w:tmpl w:val="4E52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4"/>
  </w:num>
  <w:num w:numId="4">
    <w:abstractNumId w:val="16"/>
  </w:num>
  <w:num w:numId="5">
    <w:abstractNumId w:val="0"/>
  </w:num>
  <w:num w:numId="6">
    <w:abstractNumId w:val="2"/>
  </w:num>
  <w:num w:numId="7">
    <w:abstractNumId w:val="6"/>
  </w:num>
  <w:num w:numId="8">
    <w:abstractNumId w:val="9"/>
  </w:num>
  <w:num w:numId="9">
    <w:abstractNumId w:val="13"/>
  </w:num>
  <w:num w:numId="10">
    <w:abstractNumId w:val="18"/>
  </w:num>
  <w:num w:numId="11">
    <w:abstractNumId w:val="11"/>
  </w:num>
  <w:num w:numId="12">
    <w:abstractNumId w:val="5"/>
  </w:num>
  <w:num w:numId="13">
    <w:abstractNumId w:val="10"/>
  </w:num>
  <w:num w:numId="14">
    <w:abstractNumId w:val="17"/>
  </w:num>
  <w:num w:numId="15">
    <w:abstractNumId w:val="12"/>
  </w:num>
  <w:num w:numId="16">
    <w:abstractNumId w:val="8"/>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D"/>
    <w:rsid w:val="000066A3"/>
    <w:rsid w:val="000E7E55"/>
    <w:rsid w:val="00306B57"/>
    <w:rsid w:val="003A5321"/>
    <w:rsid w:val="003D3B8A"/>
    <w:rsid w:val="004F64E0"/>
    <w:rsid w:val="005C675D"/>
    <w:rsid w:val="005C69FB"/>
    <w:rsid w:val="00612B13"/>
    <w:rsid w:val="00660D41"/>
    <w:rsid w:val="007837D2"/>
    <w:rsid w:val="007B40E9"/>
    <w:rsid w:val="007D0842"/>
    <w:rsid w:val="00A41455"/>
    <w:rsid w:val="00A8163D"/>
    <w:rsid w:val="00B42CBE"/>
    <w:rsid w:val="00B81F1E"/>
    <w:rsid w:val="00BD66A8"/>
    <w:rsid w:val="00D111F6"/>
    <w:rsid w:val="00DD20CD"/>
    <w:rsid w:val="00E33E17"/>
    <w:rsid w:val="00E65BB0"/>
    <w:rsid w:val="00EA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7837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837D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837D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7837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837D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837D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Walford &amp; North Shropshire College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dcterms:created xsi:type="dcterms:W3CDTF">2017-07-07T10:52:00Z</dcterms:created>
  <dcterms:modified xsi:type="dcterms:W3CDTF">2017-07-07T10:52:00Z</dcterms:modified>
</cp:coreProperties>
</file>